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8077"/>
      </w:tblGrid>
      <w:tr w:rsidR="0094424E">
        <w:trPr>
          <w:jc w:val="center"/>
        </w:trPr>
        <w:tc>
          <w:tcPr>
            <w:tcW w:w="743" w:type="dxa"/>
          </w:tcPr>
          <w:p w:rsidR="0094424E" w:rsidRPr="008A59EE" w:rsidRDefault="00AC5857" w:rsidP="00D44968">
            <w:pPr>
              <w:suppressLineNumbers/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ל</w:t>
            </w:r>
            <w:r w:rsidR="0094424E" w:rsidRPr="008A59EE"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פני </w:t>
            </w:r>
          </w:p>
        </w:tc>
        <w:tc>
          <w:tcPr>
            <w:tcW w:w="8077" w:type="dxa"/>
          </w:tcPr>
          <w:p w:rsidR="0094424E" w:rsidRPr="008A59EE" w:rsidRDefault="000529D2" w:rsidP="00E9269D">
            <w:pPr>
              <w:suppressLineNumbers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>כבוד</w:t>
            </w:r>
            <w:r w:rsidR="0094424E"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ה</w:t>
            </w:r>
            <w:sdt>
              <w:sdtPr>
                <w:rPr>
                  <w:sz w:val="26"/>
                  <w:szCs w:val="26"/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שופט</w:t>
                </w:r>
              </w:sdtContent>
            </w:sdt>
            <w:r w:rsidR="0094424E" w:rsidRPr="008A59EE">
              <w:rPr>
                <w:rFonts w:ascii="Arial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sz w:val="26"/>
                  <w:szCs w:val="26"/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sz w:val="26"/>
                    <w:szCs w:val="26"/>
                    <w:rtl/>
                  </w:rPr>
                  <w:t>אריה נאמן</w:t>
                </w:r>
              </w:sdtContent>
            </w:sdt>
          </w:p>
          <w:p w:rsidR="00007DE0" w:rsidRPr="008A59EE" w:rsidRDefault="00007DE0" w:rsidP="00007DE0">
            <w:pPr>
              <w:suppressLineNumbers/>
              <w:rPr>
                <w:sz w:val="26"/>
                <w:szCs w:val="26"/>
              </w:rPr>
            </w:pPr>
          </w:p>
        </w:tc>
      </w:tr>
    </w:tbl>
    <w:p w:rsidR="007E4725" w:rsidRDefault="007E4725" w:rsidP="00D44968">
      <w:pPr>
        <w:suppressLineNumbers/>
        <w:rPr>
          <w:rtl/>
        </w:rPr>
      </w:pPr>
    </w:p>
    <w:p w:rsidR="00A43A77" w:rsidRDefault="007E4725" w:rsidP="00FB32F5">
      <w:pPr>
        <w:suppressLineNumbers/>
        <w:rPr>
          <w:rtl/>
        </w:rPr>
      </w:pPr>
      <w:r w:rsidRPr="007E4725">
        <w:rPr>
          <w:rFonts w:hint="cs"/>
          <w:b/>
          <w:bCs/>
          <w:u w:val="single"/>
          <w:rtl/>
        </w:rPr>
        <w:t>המבקשים:</w:t>
      </w:r>
      <w:r>
        <w:rPr>
          <w:rtl/>
        </w:rPr>
        <w:tab/>
      </w:r>
      <w:r>
        <w:rPr>
          <w:rtl/>
        </w:rPr>
        <w:tab/>
      </w:r>
      <w:r w:rsidR="00FB32F5">
        <w:rPr>
          <w:rtl/>
        </w:rPr>
        <w:tab/>
      </w:r>
      <w:r w:rsidR="00FB32F5">
        <w:rPr>
          <w:rtl/>
        </w:rPr>
        <w:tab/>
      </w:r>
      <w:r>
        <w:rPr>
          <w:rFonts w:hint="cs"/>
          <w:rtl/>
        </w:rPr>
        <w:t>א' ואח'</w:t>
      </w:r>
    </w:p>
    <w:p w:rsidR="00DB053E" w:rsidRDefault="00DB053E" w:rsidP="00D44968">
      <w:pPr>
        <w:suppressLineNumbers/>
        <w:rPr>
          <w:rtl/>
        </w:rPr>
      </w:pPr>
    </w:p>
    <w:p w:rsidR="007E4725" w:rsidRDefault="00FB32F5" w:rsidP="00D44968">
      <w:pPr>
        <w:suppressLineNumbers/>
        <w:rPr>
          <w:rtl/>
        </w:rPr>
      </w:pPr>
      <w:r>
        <w:rPr>
          <w:rtl/>
        </w:rPr>
        <w:tab/>
      </w:r>
    </w:p>
    <w:p w:rsidR="007E4725" w:rsidRDefault="007E4725" w:rsidP="00D44968">
      <w:pPr>
        <w:suppressLineNumbers/>
        <w:rPr>
          <w:b/>
          <w:bCs/>
          <w:rtl/>
        </w:rPr>
      </w:pPr>
      <w:r>
        <w:rPr>
          <w:rtl/>
        </w:rPr>
        <w:tab/>
      </w:r>
      <w:r w:rsidR="00FB32F5">
        <w:rPr>
          <w:rtl/>
        </w:rPr>
        <w:tab/>
      </w:r>
      <w:r w:rsidR="00FB32F5"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 w:rsidRPr="007E4725">
        <w:rPr>
          <w:rFonts w:hint="cs"/>
          <w:b/>
          <w:bCs/>
          <w:rtl/>
        </w:rPr>
        <w:t>נגד</w:t>
      </w:r>
    </w:p>
    <w:p w:rsidR="007E4725" w:rsidRDefault="007E4725" w:rsidP="00D44968">
      <w:pPr>
        <w:suppressLineNumbers/>
        <w:rPr>
          <w:b/>
          <w:bCs/>
          <w:rtl/>
        </w:rPr>
      </w:pPr>
    </w:p>
    <w:p w:rsidR="00DB053E" w:rsidRDefault="00DB053E" w:rsidP="00D44968">
      <w:pPr>
        <w:suppressLineNumbers/>
        <w:rPr>
          <w:b/>
          <w:bCs/>
          <w:rtl/>
        </w:rPr>
      </w:pPr>
    </w:p>
    <w:p w:rsidR="007E4725" w:rsidRPr="007E4725" w:rsidRDefault="007E4725" w:rsidP="00D44968">
      <w:pPr>
        <w:suppressLineNumbers/>
        <w:rPr>
          <w:rtl/>
        </w:rPr>
      </w:pPr>
      <w:r w:rsidRPr="007E4725">
        <w:rPr>
          <w:rFonts w:hint="cs"/>
          <w:b/>
          <w:bCs/>
          <w:u w:val="single"/>
          <w:rtl/>
        </w:rPr>
        <w:t>המשיבים:</w:t>
      </w:r>
      <w:r>
        <w:rPr>
          <w:rtl/>
        </w:rPr>
        <w:tab/>
      </w:r>
      <w:r>
        <w:rPr>
          <w:rtl/>
        </w:rPr>
        <w:tab/>
      </w:r>
      <w:r w:rsidR="00FB32F5">
        <w:rPr>
          <w:rtl/>
        </w:rPr>
        <w:tab/>
      </w:r>
      <w:r w:rsidR="00FB32F5">
        <w:rPr>
          <w:rtl/>
        </w:rPr>
        <w:tab/>
      </w:r>
      <w:r>
        <w:rPr>
          <w:rFonts w:hint="cs"/>
          <w:rtl/>
        </w:rPr>
        <w:t>ש' ואח'</w:t>
      </w:r>
    </w:p>
    <w:p w:rsidR="00A43A77" w:rsidRDefault="00A43A77" w:rsidP="00D44968">
      <w:pPr>
        <w:suppressLineNumbers/>
        <w:rPr>
          <w:rtl/>
        </w:rPr>
      </w:pPr>
    </w:p>
    <w:p w:rsidR="00A43A77" w:rsidRDefault="00A43A77" w:rsidP="00D44968">
      <w:pPr>
        <w:suppressLineNumbers/>
        <w:rPr>
          <w:rtl/>
        </w:rPr>
      </w:pPr>
    </w:p>
    <w:p w:rsidR="00A43A77" w:rsidRDefault="00A43A77" w:rsidP="00D44968">
      <w:pPr>
        <w:suppressLineNumbers/>
        <w:rPr>
          <w:rtl/>
        </w:rPr>
      </w:pPr>
    </w:p>
    <w:p w:rsidR="00A43A77" w:rsidRDefault="00A43A77" w:rsidP="00D44968">
      <w:pPr>
        <w:suppressLineNumbers/>
        <w:rPr>
          <w:rtl/>
        </w:rPr>
      </w:pPr>
    </w:p>
    <w:p w:rsidR="00A43A77" w:rsidRDefault="00A43A77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A43A77" w:rsidRDefault="00A43A77" w:rsidP="000C03C9">
      <w:pPr>
        <w:spacing w:line="360" w:lineRule="auto"/>
        <w:jc w:val="both"/>
        <w:rPr>
          <w:rFonts w:ascii="Calibri" w:eastAsia="Calibri" w:hAnsi="Calibri"/>
          <w:noProof w:val="0"/>
        </w:rPr>
      </w:pPr>
      <w:bookmarkStart w:id="0" w:name="NGCSBookmark"/>
      <w:bookmarkEnd w:id="0"/>
      <w:r>
        <w:rPr>
          <w:rFonts w:ascii="Calibri" w:eastAsia="Calibri" w:hAnsi="Calibri"/>
          <w:rtl/>
        </w:rPr>
        <w:t>בפניי בקשת רשות ערעור על  פסק דינו של בימ"ש קמא מיום 13.6.24 (כב' השופטת רויטל באום) במסגרת</w:t>
      </w:r>
      <w:r w:rsidR="000C03C9">
        <w:rPr>
          <w:rFonts w:ascii="Calibri" w:eastAsia="Calibri" w:hAnsi="Calibri" w:hint="cs"/>
          <w:rtl/>
        </w:rPr>
        <w:t>ו</w:t>
      </w:r>
      <w:r>
        <w:rPr>
          <w:rFonts w:ascii="Calibri" w:eastAsia="Calibri" w:hAnsi="Calibri"/>
          <w:rtl/>
        </w:rPr>
        <w:t xml:space="preserve"> </w:t>
      </w:r>
      <w:r w:rsidR="000C03C9">
        <w:rPr>
          <w:rFonts w:ascii="Calibri" w:eastAsia="Calibri" w:hAnsi="Calibri" w:hint="cs"/>
          <w:rtl/>
        </w:rPr>
        <w:t>נדחה</w:t>
      </w:r>
      <w:r>
        <w:rPr>
          <w:rFonts w:ascii="Calibri" w:eastAsia="Calibri" w:hAnsi="Calibri"/>
          <w:rtl/>
        </w:rPr>
        <w:t xml:space="preserve"> ערעורם של המבקשים על החלטת כב' רשמת ה</w:t>
      </w:r>
      <w:r w:rsidR="00411601">
        <w:rPr>
          <w:rFonts w:ascii="Calibri" w:eastAsia="Calibri" w:hAnsi="Calibri"/>
          <w:rtl/>
        </w:rPr>
        <w:t>הוצל"פ</w:t>
      </w:r>
      <w:r>
        <w:rPr>
          <w:rFonts w:ascii="Calibri" w:eastAsia="Calibri" w:hAnsi="Calibri"/>
          <w:rtl/>
        </w:rPr>
        <w:t xml:space="preserve"> מיום 27.5.24. </w:t>
      </w:r>
    </w:p>
    <w:p w:rsidR="00A43A77" w:rsidRDefault="00A43A77" w:rsidP="00A43A77">
      <w:pPr>
        <w:spacing w:line="360" w:lineRule="auto"/>
        <w:jc w:val="both"/>
        <w:rPr>
          <w:rFonts w:ascii="Calibri" w:eastAsia="Calibri" w:hAnsi="Calibri"/>
          <w:rtl/>
        </w:rPr>
      </w:pPr>
    </w:p>
    <w:p w:rsidR="00A43A77" w:rsidRDefault="00A43A77" w:rsidP="00A43A77">
      <w:pPr>
        <w:spacing w:line="360" w:lineRule="auto"/>
        <w:jc w:val="both"/>
        <w:rPr>
          <w:rFonts w:ascii="Aharoni" w:eastAsia="Calibri" w:hAnsi="Aharoni" w:cs="Aharoni"/>
        </w:rPr>
      </w:pPr>
      <w:r>
        <w:rPr>
          <w:rFonts w:ascii="Aharoni" w:eastAsia="Calibri" w:hAnsi="Aharoni" w:cs="Aharoni"/>
          <w:rtl/>
        </w:rPr>
        <w:t>[</w:t>
      </w:r>
      <w:r>
        <w:rPr>
          <w:rFonts w:ascii="Aharoni" w:eastAsia="Calibri" w:hAnsi="Aharoni" w:cs="Aharoni"/>
          <w:b/>
          <w:bCs/>
          <w:u w:val="single"/>
          <w:rtl/>
        </w:rPr>
        <w:t>הערה</w:t>
      </w:r>
      <w:r>
        <w:rPr>
          <w:rFonts w:ascii="Aharoni" w:eastAsia="Calibri" w:hAnsi="Aharoni" w:cs="Aharoni"/>
          <w:rtl/>
        </w:rPr>
        <w:t>: ההדגשות בציטוטים שיובאו בפסה"ד להלן, אינן במקור ונועדו לשם ההדגשה בלבד]</w:t>
      </w:r>
    </w:p>
    <w:p w:rsidR="00A43A77" w:rsidRDefault="00A43A77" w:rsidP="00A43A77">
      <w:pPr>
        <w:spacing w:line="360" w:lineRule="auto"/>
        <w:ind w:left="84"/>
        <w:jc w:val="both"/>
        <w:rPr>
          <w:rFonts w:ascii="Arial" w:eastAsia="Calibri" w:hAnsi="Arial"/>
          <w:b/>
          <w:bCs/>
        </w:rPr>
      </w:pPr>
    </w:p>
    <w:p w:rsidR="00A43A77" w:rsidRDefault="00A43A77" w:rsidP="003E241B">
      <w:p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b/>
          <w:bCs/>
          <w:rtl/>
        </w:rPr>
        <w:t>לאחר עיון בבקשת רשות הערעור על נספחיה ובתיק קמא, ומכח סמכותי על פי תקנות 138(</w:t>
      </w:r>
      <w:r w:rsidR="003E241B">
        <w:rPr>
          <w:rFonts w:ascii="Arial" w:eastAsia="Calibri" w:hAnsi="Arial"/>
          <w:b/>
          <w:bCs/>
          <w:rtl/>
        </w:rPr>
        <w:t>א)(1)(5) לתקנות סדר הדין האזרחי</w:t>
      </w:r>
      <w:r>
        <w:rPr>
          <w:rFonts w:ascii="Arial" w:eastAsia="Calibri" w:hAnsi="Arial"/>
          <w:b/>
          <w:bCs/>
          <w:rtl/>
        </w:rPr>
        <w:t xml:space="preserve"> תשע"ט-2018 </w:t>
      </w:r>
      <w:r w:rsidR="003E241B">
        <w:rPr>
          <w:rFonts w:ascii="David" w:eastAsia="Calibri" w:hAnsi="David" w:hint="cs"/>
          <w:b/>
          <w:bCs/>
          <w:rtl/>
        </w:rPr>
        <w:t xml:space="preserve">(להלן: </w:t>
      </w:r>
      <w:r w:rsidR="003E241B" w:rsidRPr="003E241B">
        <w:rPr>
          <w:rFonts w:ascii="David" w:eastAsia="Calibri" w:hAnsi="David" w:hint="cs"/>
          <w:b/>
          <w:bCs/>
          <w:u w:val="single"/>
          <w:rtl/>
        </w:rPr>
        <w:t>"תקסד"א"</w:t>
      </w:r>
      <w:r w:rsidR="003E241B">
        <w:rPr>
          <w:rFonts w:ascii="David" w:eastAsia="Calibri" w:hAnsi="David" w:hint="cs"/>
          <w:b/>
          <w:bCs/>
          <w:rtl/>
        </w:rPr>
        <w:t xml:space="preserve">), </w:t>
      </w:r>
      <w:r>
        <w:rPr>
          <w:rFonts w:ascii="David" w:eastAsia="Calibri" w:hAnsi="David"/>
          <w:b/>
          <w:bCs/>
          <w:rtl/>
        </w:rPr>
        <w:t>אשר הוחלו גם על בקשות רשות ערעור בענייני משפחה מכוח</w:t>
      </w:r>
      <w:r>
        <w:rPr>
          <w:rFonts w:ascii="Garamond" w:eastAsia="Calibri" w:hAnsi="Garamond"/>
          <w:b/>
          <w:bCs/>
          <w:rtl/>
        </w:rPr>
        <w:t xml:space="preserve"> </w:t>
      </w:r>
      <w:r>
        <w:rPr>
          <w:rFonts w:ascii="David" w:eastAsia="Calibri" w:hAnsi="David"/>
          <w:b/>
          <w:bCs/>
          <w:rtl/>
        </w:rPr>
        <w:t>תקנה 44 לתקנות בית המשפט לענייני משפחה (סדרי דין)</w:t>
      </w:r>
      <w:r w:rsidR="003E241B">
        <w:rPr>
          <w:rFonts w:ascii="David" w:eastAsia="Calibri" w:hAnsi="David"/>
          <w:b/>
          <w:bCs/>
          <w:rtl/>
        </w:rPr>
        <w:t xml:space="preserve"> תשפ"א-2020</w:t>
      </w:r>
      <w:r w:rsidR="003E241B">
        <w:rPr>
          <w:rFonts w:ascii="David" w:eastAsia="Calibri" w:hAnsi="David" w:hint="cs"/>
          <w:b/>
          <w:bCs/>
          <w:rtl/>
        </w:rPr>
        <w:t xml:space="preserve"> (להלן: </w:t>
      </w:r>
      <w:r w:rsidR="003E241B" w:rsidRPr="003E241B">
        <w:rPr>
          <w:rFonts w:ascii="David" w:eastAsia="Calibri" w:hAnsi="David" w:hint="cs"/>
          <w:b/>
          <w:bCs/>
          <w:u w:val="single"/>
          <w:rtl/>
        </w:rPr>
        <w:t>"תק</w:t>
      </w:r>
      <w:r w:rsidR="003E241B">
        <w:rPr>
          <w:rFonts w:ascii="David" w:eastAsia="Calibri" w:hAnsi="David" w:hint="cs"/>
          <w:b/>
          <w:bCs/>
          <w:u w:val="single"/>
          <w:rtl/>
        </w:rPr>
        <w:t>נות משפחה</w:t>
      </w:r>
      <w:r w:rsidR="003E241B" w:rsidRPr="003E241B">
        <w:rPr>
          <w:rFonts w:ascii="David" w:eastAsia="Calibri" w:hAnsi="David" w:hint="cs"/>
          <w:b/>
          <w:bCs/>
          <w:u w:val="single"/>
          <w:rtl/>
        </w:rPr>
        <w:t>"</w:t>
      </w:r>
      <w:r w:rsidR="003E241B">
        <w:rPr>
          <w:rFonts w:ascii="David" w:eastAsia="Calibri" w:hAnsi="David" w:hint="cs"/>
          <w:b/>
          <w:bCs/>
          <w:rtl/>
        </w:rPr>
        <w:t xml:space="preserve">), </w:t>
      </w:r>
      <w:r>
        <w:rPr>
          <w:rFonts w:ascii="Arial" w:eastAsia="Calibri" w:hAnsi="Arial"/>
          <w:b/>
          <w:bCs/>
          <w:rtl/>
        </w:rPr>
        <w:t xml:space="preserve">שוכנעתי לדחות את הבקשה אף ללא צורך בתשובה, מהטעמים שיפורטו. </w:t>
      </w:r>
    </w:p>
    <w:p w:rsidR="00A43A77" w:rsidRDefault="00A43A77" w:rsidP="00A43A77">
      <w:pPr>
        <w:spacing w:line="360" w:lineRule="auto"/>
        <w:jc w:val="both"/>
        <w:rPr>
          <w:rFonts w:ascii="Arial" w:eastAsia="Calibri" w:hAnsi="Arial"/>
          <w:rtl/>
        </w:rPr>
      </w:pPr>
    </w:p>
    <w:p w:rsidR="001E18D3" w:rsidRDefault="00A43A77" w:rsidP="00DA514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>ראשית יצוין כי מדובר</w:t>
      </w:r>
      <w:r w:rsidR="003E241B">
        <w:rPr>
          <w:rFonts w:ascii="Arial" w:eastAsia="Calibri" w:hAnsi="Arial" w:hint="cs"/>
          <w:rtl/>
        </w:rPr>
        <w:t xml:space="preserve"> </w:t>
      </w:r>
      <w:r w:rsidR="003E241B" w:rsidRPr="003E241B">
        <w:rPr>
          <w:rFonts w:ascii="Arial" w:eastAsia="Calibri" w:hAnsi="Arial" w:hint="cs"/>
          <w:u w:val="single"/>
          <w:rtl/>
        </w:rPr>
        <w:t>בערעור</w:t>
      </w:r>
      <w:r w:rsidRPr="003E241B">
        <w:rPr>
          <w:rFonts w:ascii="Arial" w:eastAsia="Calibri" w:hAnsi="Arial"/>
          <w:u w:val="single"/>
          <w:rtl/>
        </w:rPr>
        <w:t xml:space="preserve"> בגלגול שלישי</w:t>
      </w:r>
      <w:r>
        <w:rPr>
          <w:rFonts w:ascii="Arial" w:eastAsia="Calibri" w:hAnsi="Arial"/>
          <w:rtl/>
        </w:rPr>
        <w:t xml:space="preserve"> ולפיכך חלה </w:t>
      </w:r>
      <w:r w:rsidR="00EB49F3">
        <w:rPr>
          <w:rFonts w:ascii="Arial" w:eastAsia="Calibri" w:hAnsi="Arial" w:hint="cs"/>
          <w:rtl/>
        </w:rPr>
        <w:t>עליו</w:t>
      </w:r>
      <w:r>
        <w:rPr>
          <w:rFonts w:ascii="Arial" w:eastAsia="Calibri" w:hAnsi="Arial"/>
          <w:rtl/>
        </w:rPr>
        <w:t xml:space="preserve"> </w:t>
      </w:r>
      <w:proofErr w:type="spellStart"/>
      <w:r w:rsidR="00EB49F3">
        <w:rPr>
          <w:rFonts w:ascii="Arial" w:eastAsia="Calibri" w:hAnsi="Arial"/>
          <w:rtl/>
        </w:rPr>
        <w:t>הלכ</w:t>
      </w:r>
      <w:proofErr w:type="spellEnd"/>
      <w:r w:rsidR="00EB49F3">
        <w:rPr>
          <w:rFonts w:ascii="Arial" w:eastAsia="Calibri" w:hAnsi="Arial"/>
          <w:rtl/>
        </w:rPr>
        <w:t>'</w:t>
      </w:r>
      <w:r>
        <w:rPr>
          <w:rFonts w:ascii="Arial" w:eastAsia="Calibri" w:hAnsi="Arial"/>
          <w:rtl/>
        </w:rPr>
        <w:t xml:space="preserve"> </w:t>
      </w:r>
      <w:r w:rsidR="001E18D3">
        <w:rPr>
          <w:rFonts w:ascii="Arial" w:eastAsia="Calibri" w:hAnsi="Arial" w:hint="cs"/>
          <w:b/>
          <w:bCs/>
          <w:rtl/>
        </w:rPr>
        <w:t>'</w:t>
      </w:r>
      <w:r>
        <w:rPr>
          <w:rFonts w:ascii="Arial" w:eastAsia="Calibri" w:hAnsi="Arial"/>
          <w:b/>
          <w:bCs/>
          <w:rtl/>
        </w:rPr>
        <w:t>חניון חיפה</w:t>
      </w:r>
      <w:r w:rsidR="001E18D3">
        <w:rPr>
          <w:rFonts w:ascii="Arial" w:eastAsia="Calibri" w:hAnsi="Arial" w:hint="cs"/>
          <w:b/>
          <w:bCs/>
          <w:rtl/>
        </w:rPr>
        <w:t>'</w:t>
      </w:r>
      <w:r>
        <w:rPr>
          <w:rFonts w:ascii="Arial" w:eastAsia="Calibri" w:hAnsi="Arial"/>
          <w:b/>
          <w:bCs/>
          <w:rtl/>
        </w:rPr>
        <w:t xml:space="preserve"> </w:t>
      </w:r>
      <w:r>
        <w:rPr>
          <w:rFonts w:ascii="Arial" w:eastAsia="Calibri" w:hAnsi="Arial"/>
          <w:rtl/>
        </w:rPr>
        <w:t xml:space="preserve">הקובעת מבחן מנחה למתן רשות ערעור בגלגול שלישי. המבקשים בבקשת רשות הערעור </w:t>
      </w:r>
      <w:r w:rsidRPr="003E241B">
        <w:rPr>
          <w:rFonts w:ascii="Arial" w:eastAsia="Calibri" w:hAnsi="Arial"/>
          <w:u w:val="single"/>
          <w:rtl/>
        </w:rPr>
        <w:t xml:space="preserve">לא טרחו </w:t>
      </w:r>
      <w:r w:rsidR="001E18D3">
        <w:rPr>
          <w:rFonts w:ascii="Arial" w:eastAsia="Calibri" w:hAnsi="Arial" w:hint="cs"/>
          <w:u w:val="single"/>
          <w:rtl/>
        </w:rPr>
        <w:t>להתייחס לעניין זה כלל</w:t>
      </w:r>
      <w:r w:rsidR="00DA5140">
        <w:rPr>
          <w:rFonts w:ascii="Arial" w:eastAsia="Calibri" w:hAnsi="Arial" w:hint="cs"/>
          <w:u w:val="single"/>
          <w:rtl/>
        </w:rPr>
        <w:t xml:space="preserve"> ו/או לנמק</w:t>
      </w:r>
      <w:r>
        <w:rPr>
          <w:rFonts w:ascii="Arial" w:eastAsia="Calibri" w:hAnsi="Arial"/>
          <w:rtl/>
        </w:rPr>
        <w:t xml:space="preserve"> מדוע הינם סבורים ש</w:t>
      </w:r>
      <w:r w:rsidR="00DA5140">
        <w:rPr>
          <w:rFonts w:ascii="Arial" w:eastAsia="Calibri" w:hAnsi="Arial" w:hint="cs"/>
          <w:rtl/>
        </w:rPr>
        <w:t>ערעורם</w:t>
      </w:r>
      <w:r>
        <w:rPr>
          <w:rFonts w:ascii="Arial" w:eastAsia="Calibri" w:hAnsi="Arial"/>
          <w:rtl/>
        </w:rPr>
        <w:t xml:space="preserve"> עומד באמות המידה של </w:t>
      </w:r>
      <w:proofErr w:type="spellStart"/>
      <w:r w:rsidR="00EB49F3">
        <w:rPr>
          <w:rFonts w:ascii="Arial" w:eastAsia="Calibri" w:hAnsi="Arial"/>
          <w:rtl/>
        </w:rPr>
        <w:t>הלכ</w:t>
      </w:r>
      <w:proofErr w:type="spellEnd"/>
      <w:r w:rsidR="00EB49F3">
        <w:rPr>
          <w:rFonts w:ascii="Arial" w:eastAsia="Calibri" w:hAnsi="Arial"/>
          <w:rtl/>
        </w:rPr>
        <w:t>'</w:t>
      </w:r>
      <w:r>
        <w:rPr>
          <w:rFonts w:ascii="Arial" w:eastAsia="Calibri" w:hAnsi="Arial"/>
          <w:rtl/>
        </w:rPr>
        <w:t xml:space="preserve"> </w:t>
      </w:r>
      <w:r w:rsidR="001E18D3">
        <w:rPr>
          <w:rFonts w:ascii="Arial" w:eastAsia="Calibri" w:hAnsi="Arial" w:hint="cs"/>
          <w:rtl/>
        </w:rPr>
        <w:t>'</w:t>
      </w:r>
      <w:r>
        <w:rPr>
          <w:rFonts w:ascii="Arial" w:eastAsia="Calibri" w:hAnsi="Arial"/>
          <w:rtl/>
        </w:rPr>
        <w:t>חניון חיפה</w:t>
      </w:r>
      <w:r w:rsidR="001E18D3">
        <w:rPr>
          <w:rFonts w:ascii="Arial" w:eastAsia="Calibri" w:hAnsi="Arial" w:hint="cs"/>
          <w:rtl/>
        </w:rPr>
        <w:t>' &gt;&gt;</w:t>
      </w:r>
      <w:r>
        <w:rPr>
          <w:rFonts w:ascii="Arial" w:eastAsia="Calibri" w:hAnsi="Arial"/>
          <w:rtl/>
        </w:rPr>
        <w:t xml:space="preserve"> ולו מטעם ח</w:t>
      </w:r>
      <w:r w:rsidR="001E18D3">
        <w:rPr>
          <w:rFonts w:ascii="Arial" w:eastAsia="Calibri" w:hAnsi="Arial" w:hint="cs"/>
          <w:rtl/>
        </w:rPr>
        <w:t>ֶ</w:t>
      </w:r>
      <w:r>
        <w:rPr>
          <w:rFonts w:ascii="Arial" w:eastAsia="Calibri" w:hAnsi="Arial"/>
          <w:rtl/>
        </w:rPr>
        <w:t>ס</w:t>
      </w:r>
      <w:r w:rsidR="001E18D3">
        <w:rPr>
          <w:rFonts w:ascii="Arial" w:eastAsia="Calibri" w:hAnsi="Arial" w:hint="cs"/>
          <w:rtl/>
        </w:rPr>
        <w:t>ֶ</w:t>
      </w:r>
      <w:r>
        <w:rPr>
          <w:rFonts w:ascii="Arial" w:eastAsia="Calibri" w:hAnsi="Arial"/>
          <w:rtl/>
        </w:rPr>
        <w:t xml:space="preserve">ר זה יש מקום לדחות את בקשת רשות הערעור </w:t>
      </w:r>
      <w:r w:rsidRPr="001E18D3">
        <w:rPr>
          <w:rFonts w:ascii="Arial" w:eastAsia="Calibri" w:hAnsi="Arial"/>
          <w:u w:val="single"/>
          <w:rtl/>
        </w:rPr>
        <w:t>על הסף</w:t>
      </w:r>
      <w:r>
        <w:rPr>
          <w:rFonts w:ascii="Arial" w:eastAsia="Calibri" w:hAnsi="Arial"/>
          <w:rtl/>
        </w:rPr>
        <w:t xml:space="preserve">. </w:t>
      </w:r>
      <w:r w:rsidR="001E18D3">
        <w:rPr>
          <w:rFonts w:ascii="Arial" w:eastAsia="Calibri" w:hAnsi="Arial" w:hint="cs"/>
          <w:rtl/>
        </w:rPr>
        <w:t xml:space="preserve">חובתו של המערער הינה לנמק מדוע הינו סבור שיש מקום </w:t>
      </w:r>
      <w:proofErr w:type="spellStart"/>
      <w:r w:rsidR="001E18D3">
        <w:rPr>
          <w:rFonts w:ascii="Arial" w:eastAsia="Calibri" w:hAnsi="Arial" w:hint="cs"/>
          <w:rtl/>
        </w:rPr>
        <w:t>ליתן</w:t>
      </w:r>
      <w:proofErr w:type="spellEnd"/>
      <w:r w:rsidR="001E18D3">
        <w:rPr>
          <w:rFonts w:ascii="Arial" w:eastAsia="Calibri" w:hAnsi="Arial" w:hint="cs"/>
          <w:rtl/>
        </w:rPr>
        <w:t xml:space="preserve"> לו רשות ערעור בגלגול שלישי, ואין זו חובתו של ביהמ"ש לפשפש ולחפש האם אמות המידה של </w:t>
      </w:r>
      <w:proofErr w:type="spellStart"/>
      <w:r w:rsidR="001E18D3">
        <w:rPr>
          <w:rFonts w:ascii="Arial" w:eastAsia="Calibri" w:hAnsi="Arial" w:hint="cs"/>
          <w:rtl/>
        </w:rPr>
        <w:t>הלכ</w:t>
      </w:r>
      <w:proofErr w:type="spellEnd"/>
      <w:r w:rsidR="001E18D3">
        <w:rPr>
          <w:rFonts w:ascii="Arial" w:eastAsia="Calibri" w:hAnsi="Arial" w:hint="cs"/>
          <w:rtl/>
        </w:rPr>
        <w:t>' חניון חיפה מתקיימים.</w:t>
      </w:r>
    </w:p>
    <w:p w:rsidR="00A43A77" w:rsidRDefault="00A43A77" w:rsidP="00874C9E">
      <w:pPr>
        <w:pStyle w:val="ad"/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>עם זאת</w:t>
      </w:r>
      <w:r w:rsidR="001E18D3">
        <w:rPr>
          <w:rFonts w:ascii="Arial" w:eastAsia="Calibri" w:hAnsi="Arial" w:hint="cs"/>
          <w:rtl/>
        </w:rPr>
        <w:t xml:space="preserve"> ולפנים משורת הדין,</w:t>
      </w:r>
      <w:r>
        <w:rPr>
          <w:rFonts w:ascii="Arial" w:eastAsia="Calibri" w:hAnsi="Arial"/>
          <w:rtl/>
        </w:rPr>
        <w:t xml:space="preserve"> עשיתי אני את מלאכתם של המבקשים ועיינתי בבקשת רשות הערעור </w:t>
      </w:r>
      <w:r w:rsidR="00E421A5">
        <w:rPr>
          <w:rFonts w:ascii="Arial" w:eastAsia="Calibri" w:hAnsi="Arial"/>
          <w:b/>
          <w:bCs/>
          <w:rtl/>
        </w:rPr>
        <w:t>ולא מצאתי כי הערעור דנן</w:t>
      </w:r>
      <w:r w:rsidR="00E421A5">
        <w:rPr>
          <w:rFonts w:ascii="Arial" w:eastAsia="Calibri" w:hAnsi="Arial" w:hint="cs"/>
          <w:b/>
          <w:bCs/>
          <w:rtl/>
        </w:rPr>
        <w:t xml:space="preserve"> </w:t>
      </w:r>
      <w:r>
        <w:rPr>
          <w:rFonts w:ascii="Arial" w:eastAsia="Calibri" w:hAnsi="Arial"/>
          <w:b/>
          <w:bCs/>
          <w:rtl/>
        </w:rPr>
        <w:t xml:space="preserve">עומד באמות המידה של </w:t>
      </w:r>
      <w:proofErr w:type="spellStart"/>
      <w:r w:rsidR="00EB49F3">
        <w:rPr>
          <w:rFonts w:ascii="Arial" w:eastAsia="Calibri" w:hAnsi="Arial"/>
          <w:b/>
          <w:bCs/>
          <w:rtl/>
        </w:rPr>
        <w:t>הלכ</w:t>
      </w:r>
      <w:proofErr w:type="spellEnd"/>
      <w:r w:rsidR="00EB49F3">
        <w:rPr>
          <w:rFonts w:ascii="Arial" w:eastAsia="Calibri" w:hAnsi="Arial"/>
          <w:b/>
          <w:bCs/>
          <w:rtl/>
        </w:rPr>
        <w:t>'</w:t>
      </w:r>
      <w:r>
        <w:rPr>
          <w:rFonts w:ascii="Arial" w:eastAsia="Calibri" w:hAnsi="Arial"/>
          <w:b/>
          <w:bCs/>
          <w:rtl/>
        </w:rPr>
        <w:t xml:space="preserve"> </w:t>
      </w:r>
      <w:r w:rsidR="001E18D3">
        <w:rPr>
          <w:rFonts w:ascii="Arial" w:eastAsia="Calibri" w:hAnsi="Arial" w:hint="cs"/>
          <w:b/>
          <w:bCs/>
          <w:rtl/>
        </w:rPr>
        <w:t>'</w:t>
      </w:r>
      <w:r>
        <w:rPr>
          <w:rFonts w:ascii="Arial" w:eastAsia="Calibri" w:hAnsi="Arial"/>
          <w:b/>
          <w:bCs/>
          <w:rtl/>
        </w:rPr>
        <w:t>חניון חיפה</w:t>
      </w:r>
      <w:r w:rsidR="001E18D3">
        <w:rPr>
          <w:rFonts w:ascii="Arial" w:eastAsia="Calibri" w:hAnsi="Arial" w:hint="cs"/>
          <w:rtl/>
        </w:rPr>
        <w:t>'</w:t>
      </w:r>
      <w:r>
        <w:rPr>
          <w:rFonts w:ascii="Arial" w:eastAsia="Calibri" w:hAnsi="Arial"/>
          <w:rtl/>
        </w:rPr>
        <w:t xml:space="preserve">: אין כאן שיקולי רוחב, מדובר במחלוקת קונקרטית, פסק דינו של </w:t>
      </w:r>
      <w:r w:rsidR="009A3022">
        <w:rPr>
          <w:rFonts w:ascii="Arial" w:eastAsia="Calibri" w:hAnsi="Arial"/>
          <w:rtl/>
        </w:rPr>
        <w:t>בימ"ש</w:t>
      </w:r>
      <w:r>
        <w:rPr>
          <w:rFonts w:ascii="Arial" w:eastAsia="Calibri" w:hAnsi="Arial"/>
          <w:rtl/>
        </w:rPr>
        <w:t xml:space="preserve"> קמא איננו מעלה שאלות בעלות חשיבות חוקתית, אין כאן שאלה משפטית שטרם נפסקה בה הלכה מחייבת </w:t>
      </w:r>
      <w:r w:rsidRPr="001E18D3">
        <w:rPr>
          <w:rFonts w:ascii="Arial" w:eastAsia="Calibri" w:hAnsi="Arial"/>
          <w:sz w:val="20"/>
          <w:szCs w:val="20"/>
          <w:rtl/>
        </w:rPr>
        <w:t>(אדרבה, לטענתם של המבקשים</w:t>
      </w:r>
      <w:r w:rsidR="00DA5140">
        <w:rPr>
          <w:rFonts w:ascii="Arial" w:eastAsia="Calibri" w:hAnsi="Arial" w:hint="cs"/>
          <w:sz w:val="20"/>
          <w:szCs w:val="20"/>
          <w:rtl/>
        </w:rPr>
        <w:t xml:space="preserve"> בערעור</w:t>
      </w:r>
      <w:r w:rsidRPr="001E18D3">
        <w:rPr>
          <w:rFonts w:ascii="Arial" w:eastAsia="Calibri" w:hAnsi="Arial"/>
          <w:sz w:val="20"/>
          <w:szCs w:val="20"/>
          <w:rtl/>
        </w:rPr>
        <w:t xml:space="preserve"> קיימת פסיקה מחייבת)</w:t>
      </w:r>
      <w:r>
        <w:rPr>
          <w:rFonts w:ascii="Arial" w:eastAsia="Calibri" w:hAnsi="Arial"/>
          <w:rtl/>
        </w:rPr>
        <w:t xml:space="preserve">, לא קיימות פסיקות סותרות </w:t>
      </w:r>
      <w:r w:rsidRPr="001E18D3">
        <w:rPr>
          <w:rFonts w:ascii="Arial" w:eastAsia="Calibri" w:hAnsi="Arial"/>
          <w:sz w:val="20"/>
          <w:szCs w:val="20"/>
          <w:rtl/>
        </w:rPr>
        <w:t>(אדרבה, לטענתם של המבקשים</w:t>
      </w:r>
      <w:r w:rsidR="00DA5140">
        <w:rPr>
          <w:rFonts w:ascii="Arial" w:eastAsia="Calibri" w:hAnsi="Arial" w:hint="cs"/>
          <w:sz w:val="20"/>
          <w:szCs w:val="20"/>
          <w:rtl/>
        </w:rPr>
        <w:t xml:space="preserve"> בערעור</w:t>
      </w:r>
      <w:r w:rsidRPr="001E18D3">
        <w:rPr>
          <w:rFonts w:ascii="Arial" w:eastAsia="Calibri" w:hAnsi="Arial"/>
          <w:sz w:val="20"/>
          <w:szCs w:val="20"/>
          <w:rtl/>
        </w:rPr>
        <w:t xml:space="preserve"> קיימות פסיקות התומכות בטענותיהם),</w:t>
      </w:r>
      <w:r>
        <w:rPr>
          <w:rFonts w:ascii="Arial" w:eastAsia="Calibri" w:hAnsi="Arial"/>
          <w:rtl/>
        </w:rPr>
        <w:t xml:space="preserve"> ואין להליך חשיבות ציבורית </w:t>
      </w:r>
      <w:r>
        <w:rPr>
          <w:rFonts w:ascii="Arial" w:eastAsia="Calibri" w:hAnsi="Arial"/>
          <w:rtl/>
        </w:rPr>
        <w:lastRenderedPageBreak/>
        <w:t>מיוחדת</w:t>
      </w:r>
      <w:r w:rsidR="001E18D3">
        <w:rPr>
          <w:rFonts w:ascii="Arial" w:eastAsia="Calibri" w:hAnsi="Arial" w:hint="cs"/>
          <w:rtl/>
        </w:rPr>
        <w:t xml:space="preserve">; כאמור המבקשים </w:t>
      </w:r>
      <w:r w:rsidR="001E18D3" w:rsidRPr="00874C9E">
        <w:rPr>
          <w:rFonts w:ascii="Arial" w:eastAsia="Calibri" w:hAnsi="Arial" w:hint="cs"/>
          <w:u w:val="single"/>
          <w:rtl/>
        </w:rPr>
        <w:t xml:space="preserve">לא טרחו </w:t>
      </w:r>
      <w:r w:rsidRPr="00874C9E">
        <w:rPr>
          <w:rFonts w:ascii="Arial" w:eastAsia="Calibri" w:hAnsi="Arial"/>
          <w:u w:val="single"/>
          <w:rtl/>
        </w:rPr>
        <w:t>לטעון אחרת</w:t>
      </w:r>
      <w:r>
        <w:rPr>
          <w:rFonts w:ascii="Arial" w:eastAsia="Calibri" w:hAnsi="Arial"/>
          <w:rtl/>
        </w:rPr>
        <w:t xml:space="preserve">, </w:t>
      </w:r>
      <w:r w:rsidRPr="00E421A5">
        <w:rPr>
          <w:rFonts w:ascii="Arial" w:eastAsia="Calibri" w:hAnsi="Arial"/>
          <w:b/>
          <w:bCs/>
          <w:rtl/>
        </w:rPr>
        <w:t xml:space="preserve">ועל כן מטעמי </w:t>
      </w:r>
      <w:proofErr w:type="spellStart"/>
      <w:r w:rsidR="00EB49F3">
        <w:rPr>
          <w:rFonts w:ascii="Arial" w:eastAsia="Calibri" w:hAnsi="Arial"/>
          <w:b/>
          <w:bCs/>
          <w:rtl/>
        </w:rPr>
        <w:t>הלכ</w:t>
      </w:r>
      <w:proofErr w:type="spellEnd"/>
      <w:r w:rsidR="00EB49F3">
        <w:rPr>
          <w:rFonts w:ascii="Arial" w:eastAsia="Calibri" w:hAnsi="Arial"/>
          <w:b/>
          <w:bCs/>
          <w:rtl/>
        </w:rPr>
        <w:t>'</w:t>
      </w:r>
      <w:r w:rsidRPr="00E421A5">
        <w:rPr>
          <w:rFonts w:ascii="Arial" w:eastAsia="Calibri" w:hAnsi="Arial"/>
          <w:b/>
          <w:bCs/>
          <w:rtl/>
        </w:rPr>
        <w:t xml:space="preserve"> חניון חיפה יש להורות על דחיית בקשת רשות הערעור</w:t>
      </w:r>
      <w:r w:rsidR="00E421A5" w:rsidRPr="00E421A5">
        <w:rPr>
          <w:rFonts w:ascii="Arial" w:eastAsia="Calibri" w:hAnsi="Arial" w:hint="cs"/>
          <w:b/>
          <w:bCs/>
          <w:rtl/>
        </w:rPr>
        <w:t xml:space="preserve"> שכן מדובר בערעור בגלגול שלישי</w:t>
      </w:r>
      <w:r>
        <w:rPr>
          <w:rFonts w:ascii="Arial" w:eastAsia="Calibri" w:hAnsi="Arial"/>
          <w:rtl/>
        </w:rPr>
        <w:t xml:space="preserve">. </w:t>
      </w:r>
    </w:p>
    <w:p w:rsidR="00E421A5" w:rsidRDefault="00E421A5" w:rsidP="00411601">
      <w:pPr>
        <w:pStyle w:val="ad"/>
        <w:jc w:val="both"/>
        <w:rPr>
          <w:rFonts w:ascii="Arial" w:eastAsia="Calibri" w:hAnsi="Arial"/>
          <w:rtl/>
        </w:rPr>
      </w:pPr>
    </w:p>
    <w:p w:rsidR="00A43A77" w:rsidRDefault="00A43A77" w:rsidP="00874C9E">
      <w:pPr>
        <w:pStyle w:val="ad"/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>ברם על מנת שלא ייצא חסר, אתייחס בתמצית גם לגופ</w:t>
      </w:r>
      <w:r w:rsidR="00E421A5">
        <w:rPr>
          <w:rFonts w:ascii="Arial" w:eastAsia="Calibri" w:hAnsi="Arial" w:hint="cs"/>
          <w:rtl/>
        </w:rPr>
        <w:t>ן</w:t>
      </w:r>
      <w:r>
        <w:rPr>
          <w:rFonts w:ascii="Arial" w:eastAsia="Calibri" w:hAnsi="Arial"/>
          <w:rtl/>
        </w:rPr>
        <w:t xml:space="preserve"> של הטענות</w:t>
      </w:r>
      <w:r w:rsidR="00E421A5">
        <w:rPr>
          <w:rFonts w:ascii="Arial" w:eastAsia="Calibri" w:hAnsi="Arial" w:hint="cs"/>
          <w:rtl/>
        </w:rPr>
        <w:t xml:space="preserve"> ואדחה אותן לגופן, שכן סבורני שדין הערעור להידחות לא רק מחמת אי-הימצאות שגיאה בולטת המחייבת התערבות </w:t>
      </w:r>
      <w:proofErr w:type="spellStart"/>
      <w:r w:rsidR="00E421A5">
        <w:rPr>
          <w:rFonts w:ascii="Arial" w:eastAsia="Calibri" w:hAnsi="Arial" w:hint="cs"/>
          <w:rtl/>
        </w:rPr>
        <w:t>ערעורית</w:t>
      </w:r>
      <w:proofErr w:type="spellEnd"/>
      <w:r w:rsidR="00E421A5">
        <w:rPr>
          <w:rFonts w:ascii="Arial" w:eastAsia="Calibri" w:hAnsi="Arial" w:hint="cs"/>
          <w:rtl/>
        </w:rPr>
        <w:t xml:space="preserve">, אלא מחמת שבימ"ש קמא </w:t>
      </w:r>
      <w:r w:rsidR="00E421A5" w:rsidRPr="00E421A5">
        <w:rPr>
          <w:rFonts w:ascii="Arial" w:eastAsia="Calibri" w:hAnsi="Arial" w:hint="cs"/>
          <w:b/>
          <w:bCs/>
          <w:rtl/>
        </w:rPr>
        <w:t>צדק גם צדק</w:t>
      </w:r>
      <w:r w:rsidR="00E421A5">
        <w:rPr>
          <w:rFonts w:ascii="Arial" w:eastAsia="Calibri" w:hAnsi="Arial" w:hint="cs"/>
          <w:rtl/>
        </w:rPr>
        <w:t xml:space="preserve"> בפסק דינו</w:t>
      </w:r>
      <w:r w:rsidR="00643CE5">
        <w:rPr>
          <w:rFonts w:ascii="Arial" w:eastAsia="Calibri" w:hAnsi="Arial" w:hint="cs"/>
          <w:rtl/>
        </w:rPr>
        <w:t xml:space="preserve">, </w:t>
      </w:r>
      <w:proofErr w:type="spellStart"/>
      <w:r w:rsidR="00643CE5">
        <w:rPr>
          <w:rFonts w:ascii="Arial" w:eastAsia="Calibri" w:hAnsi="Arial" w:hint="cs"/>
          <w:rtl/>
        </w:rPr>
        <w:t>הכל</w:t>
      </w:r>
      <w:proofErr w:type="spellEnd"/>
      <w:r w:rsidR="00643CE5">
        <w:rPr>
          <w:rFonts w:ascii="Arial" w:eastAsia="Calibri" w:hAnsi="Arial" w:hint="cs"/>
          <w:rtl/>
        </w:rPr>
        <w:t xml:space="preserve"> כפי שיפורט להלן.</w:t>
      </w:r>
    </w:p>
    <w:p w:rsidR="00A43A77" w:rsidRDefault="00A43A77" w:rsidP="00411601">
      <w:pPr>
        <w:ind w:left="360"/>
        <w:jc w:val="both"/>
        <w:rPr>
          <w:rFonts w:ascii="Arial" w:eastAsia="Calibri" w:hAnsi="Arial"/>
          <w:rtl/>
        </w:rPr>
      </w:pPr>
    </w:p>
    <w:p w:rsidR="00A43A77" w:rsidRDefault="00A43A77" w:rsidP="00874C9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 xml:space="preserve">המערערים ומשיבה 2 (להלן: </w:t>
      </w:r>
      <w:r>
        <w:rPr>
          <w:rFonts w:ascii="Arial" w:eastAsia="Calibri" w:hAnsi="Arial"/>
          <w:b/>
          <w:bCs/>
          <w:u w:val="single"/>
          <w:rtl/>
        </w:rPr>
        <w:t>"המשיבה"</w:t>
      </w:r>
      <w:r>
        <w:rPr>
          <w:rFonts w:ascii="Arial" w:eastAsia="Calibri" w:hAnsi="Arial"/>
          <w:rtl/>
        </w:rPr>
        <w:t>) הינן אחיות שרכשו מהוריהם את המקרקעין מושא ההליך וניהלו ביניהן הליכים, בין היתר, לפירוק השיתוף במקרקעין. לאחר ש</w:t>
      </w:r>
      <w:r w:rsidR="009A3022">
        <w:rPr>
          <w:rFonts w:ascii="Arial" w:eastAsia="Calibri" w:hAnsi="Arial"/>
          <w:rtl/>
        </w:rPr>
        <w:t>בימ"ש</w:t>
      </w:r>
      <w:r>
        <w:rPr>
          <w:rFonts w:ascii="Arial" w:eastAsia="Calibri" w:hAnsi="Arial"/>
          <w:rtl/>
        </w:rPr>
        <w:t xml:space="preserve"> קמא שמע ראיות, הגיע למסקנה שדין תביעת פירוק השיתוף להתקבל, תוך דחיית תביעותיהם של המבקשים דנן, </w:t>
      </w:r>
      <w:r w:rsidR="009A3022">
        <w:rPr>
          <w:rFonts w:ascii="Arial" w:eastAsia="Calibri" w:hAnsi="Arial"/>
          <w:rtl/>
        </w:rPr>
        <w:t>בימ"ש</w:t>
      </w:r>
      <w:r>
        <w:rPr>
          <w:rFonts w:ascii="Arial" w:eastAsia="Calibri" w:hAnsi="Arial"/>
          <w:rtl/>
        </w:rPr>
        <w:t xml:space="preserve"> קמא אף התרשם </w:t>
      </w:r>
      <w:r w:rsidRPr="00874C9E">
        <w:rPr>
          <w:rFonts w:ascii="Arial" w:eastAsia="Calibri" w:hAnsi="Arial"/>
          <w:u w:val="single"/>
          <w:rtl/>
        </w:rPr>
        <w:t>וקבע</w:t>
      </w:r>
      <w:r>
        <w:rPr>
          <w:rFonts w:ascii="Arial" w:eastAsia="Calibri" w:hAnsi="Arial"/>
          <w:rtl/>
        </w:rPr>
        <w:t xml:space="preserve"> כי המבקשים דנן </w:t>
      </w:r>
      <w:r w:rsidRPr="009A3022">
        <w:rPr>
          <w:rFonts w:ascii="Arial" w:eastAsia="Calibri" w:hAnsi="Arial"/>
          <w:b/>
          <w:bCs/>
          <w:rtl/>
        </w:rPr>
        <w:t>פעלו בחוסר תום לב וגרמו להתמשכות ההליכים תוך שהם מונעים מהמשיבה את מימוש זכויותיה, שעה שהם עצמם נהנים מהמשך מגוריהם במקרקעין, ללא תשלום לכל גורם שהוא.</w:t>
      </w:r>
      <w:r>
        <w:rPr>
          <w:rFonts w:ascii="Arial" w:eastAsia="Calibri" w:hAnsi="Arial"/>
          <w:rtl/>
        </w:rPr>
        <w:t xml:space="preserve"> לאור האמור, ניתן פס</w:t>
      </w:r>
      <w:r w:rsidR="009A3022">
        <w:rPr>
          <w:rFonts w:ascii="Arial" w:eastAsia="Calibri" w:hAnsi="Arial" w:hint="cs"/>
          <w:rtl/>
        </w:rPr>
        <w:t>"ד</w:t>
      </w:r>
      <w:r>
        <w:rPr>
          <w:rFonts w:ascii="Arial" w:eastAsia="Calibri" w:hAnsi="Arial"/>
          <w:rtl/>
        </w:rPr>
        <w:t xml:space="preserve"> על ידי בי</w:t>
      </w:r>
      <w:r w:rsidR="009A3022">
        <w:rPr>
          <w:rFonts w:ascii="Arial" w:eastAsia="Calibri" w:hAnsi="Arial" w:hint="cs"/>
          <w:rtl/>
        </w:rPr>
        <w:t>מ"ש</w:t>
      </w:r>
      <w:r>
        <w:rPr>
          <w:rFonts w:ascii="Arial" w:eastAsia="Calibri" w:hAnsi="Arial"/>
          <w:rtl/>
        </w:rPr>
        <w:t xml:space="preserve"> קמא ביום 1.7.20 (להלן: </w:t>
      </w:r>
      <w:r>
        <w:rPr>
          <w:rFonts w:ascii="Arial" w:eastAsia="Calibri" w:hAnsi="Arial"/>
          <w:b/>
          <w:bCs/>
          <w:u w:val="single"/>
          <w:rtl/>
        </w:rPr>
        <w:t>"פס</w:t>
      </w:r>
      <w:r w:rsidR="00643CE5">
        <w:rPr>
          <w:rFonts w:ascii="Arial" w:eastAsia="Calibri" w:hAnsi="Arial" w:hint="cs"/>
          <w:b/>
          <w:bCs/>
          <w:u w:val="single"/>
          <w:rtl/>
        </w:rPr>
        <w:t>"</w:t>
      </w:r>
      <w:r w:rsidR="00411601">
        <w:rPr>
          <w:rFonts w:ascii="Arial" w:eastAsia="Calibri" w:hAnsi="Arial" w:hint="cs"/>
          <w:b/>
          <w:bCs/>
          <w:u w:val="single"/>
          <w:rtl/>
        </w:rPr>
        <w:t>ד</w:t>
      </w:r>
      <w:r>
        <w:rPr>
          <w:rFonts w:ascii="Arial" w:eastAsia="Calibri" w:hAnsi="Arial"/>
          <w:b/>
          <w:bCs/>
          <w:u w:val="single"/>
          <w:rtl/>
        </w:rPr>
        <w:t xml:space="preserve"> קמא"</w:t>
      </w:r>
      <w:r>
        <w:rPr>
          <w:rFonts w:ascii="Arial" w:eastAsia="Calibri" w:hAnsi="Arial"/>
          <w:rtl/>
        </w:rPr>
        <w:t xml:space="preserve">) הקובע כי פירוק השיתוף ייעשה באמצעות מכירת המקרקעין ללא כל דיחוי. הוסיף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, כי לנוכח הצהרתם של המבקשים כי בדעתם להוסיף ולגור במקרקעין עוד מספר שנים ובכך למעשה יוסיפו להערים קשיים על המכירה, על כן </w:t>
      </w:r>
      <w:r w:rsidR="00874C9E">
        <w:rPr>
          <w:rFonts w:ascii="Arial" w:eastAsia="Calibri" w:hAnsi="Arial" w:hint="cs"/>
          <w:rtl/>
        </w:rPr>
        <w:t>ו</w:t>
      </w:r>
      <w:r>
        <w:rPr>
          <w:rFonts w:ascii="Arial" w:eastAsia="Calibri" w:hAnsi="Arial"/>
          <w:rtl/>
        </w:rPr>
        <w:t>על מנת לצמצם עד כמה שניתן את הנזקים שעלולים המבקשים להוסיף ולגרום למשיבה</w:t>
      </w:r>
      <w:r w:rsidR="00411601">
        <w:rPr>
          <w:rFonts w:ascii="Arial" w:eastAsia="Calibri" w:hAnsi="Arial" w:hint="cs"/>
          <w:rtl/>
        </w:rPr>
        <w:t>,</w:t>
      </w:r>
      <w:r>
        <w:rPr>
          <w:rFonts w:ascii="Arial" w:eastAsia="Calibri" w:hAnsi="Arial"/>
          <w:rtl/>
        </w:rPr>
        <w:t xml:space="preserve"> קבע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כי הליך המכירה לא ייעשה באמצעותו ותחת פיקוחו </w:t>
      </w:r>
      <w:r w:rsidRPr="00874C9E">
        <w:rPr>
          <w:rFonts w:ascii="Arial" w:eastAsia="Calibri" w:hAnsi="Arial"/>
          <w:u w:val="single"/>
          <w:rtl/>
        </w:rPr>
        <w:t>אלא במסגרת</w:t>
      </w:r>
      <w:r>
        <w:rPr>
          <w:rFonts w:ascii="Arial" w:eastAsia="Calibri" w:hAnsi="Arial"/>
          <w:u w:val="single"/>
          <w:rtl/>
        </w:rPr>
        <w:t xml:space="preserve"> הו</w:t>
      </w:r>
      <w:r w:rsidR="00411601">
        <w:rPr>
          <w:rFonts w:ascii="Arial" w:eastAsia="Calibri" w:hAnsi="Arial" w:hint="cs"/>
          <w:u w:val="single"/>
          <w:rtl/>
        </w:rPr>
        <w:t>צל"פ ותחת פיקוח הוצל"פ</w:t>
      </w:r>
      <w:r>
        <w:rPr>
          <w:rFonts w:ascii="Arial" w:eastAsia="Calibri" w:hAnsi="Arial"/>
          <w:rtl/>
        </w:rPr>
        <w:t xml:space="preserve">, </w:t>
      </w:r>
      <w:r w:rsidRPr="00411601">
        <w:rPr>
          <w:rFonts w:ascii="Arial" w:eastAsia="Calibri" w:hAnsi="Arial"/>
          <w:u w:val="single"/>
          <w:rtl/>
        </w:rPr>
        <w:t>באופן שב"כ המשיבה יוכל להתמנות בהוצ</w:t>
      </w:r>
      <w:r w:rsidR="00411601">
        <w:rPr>
          <w:rFonts w:ascii="Arial" w:eastAsia="Calibri" w:hAnsi="Arial" w:hint="cs"/>
          <w:u w:val="single"/>
          <w:rtl/>
        </w:rPr>
        <w:t>ל"פ</w:t>
      </w:r>
      <w:r w:rsidRPr="00411601">
        <w:rPr>
          <w:rFonts w:ascii="Arial" w:eastAsia="Calibri" w:hAnsi="Arial"/>
          <w:u w:val="single"/>
          <w:rtl/>
        </w:rPr>
        <w:t xml:space="preserve"> ככונס נכסים</w:t>
      </w:r>
      <w:r>
        <w:rPr>
          <w:rFonts w:ascii="Arial" w:eastAsia="Calibri" w:hAnsi="Arial"/>
          <w:rtl/>
        </w:rPr>
        <w:t xml:space="preserve">, כאשר המכירה תעשה באישור רשם </w:t>
      </w:r>
      <w:r w:rsidR="00411601">
        <w:rPr>
          <w:rFonts w:ascii="Arial" w:eastAsia="Calibri" w:hAnsi="Arial" w:hint="cs"/>
          <w:rtl/>
        </w:rPr>
        <w:t>ה</w:t>
      </w:r>
      <w:r>
        <w:rPr>
          <w:rFonts w:ascii="Arial" w:eastAsia="Calibri" w:hAnsi="Arial"/>
          <w:rtl/>
        </w:rPr>
        <w:t>הוצ</w:t>
      </w:r>
      <w:r w:rsidR="00411601">
        <w:rPr>
          <w:rFonts w:ascii="Arial" w:eastAsia="Calibri" w:hAnsi="Arial" w:hint="cs"/>
          <w:rtl/>
        </w:rPr>
        <w:t>ל"</w:t>
      </w:r>
      <w:r>
        <w:rPr>
          <w:rFonts w:ascii="Arial" w:eastAsia="Calibri" w:hAnsi="Arial"/>
          <w:rtl/>
        </w:rPr>
        <w:t xml:space="preserve">פ ובהתאם לשיקול דעתו. ואז הוסיף </w:t>
      </w:r>
      <w:r w:rsidR="00411601">
        <w:rPr>
          <w:rFonts w:ascii="Arial" w:eastAsia="Calibri" w:hAnsi="Arial"/>
          <w:rtl/>
        </w:rPr>
        <w:t>בי</w:t>
      </w:r>
      <w:r w:rsidR="009A3022">
        <w:rPr>
          <w:rFonts w:ascii="Arial" w:eastAsia="Calibri" w:hAnsi="Arial"/>
          <w:rtl/>
        </w:rPr>
        <w:t>מ"ש</w:t>
      </w:r>
      <w:r>
        <w:rPr>
          <w:rFonts w:ascii="Arial" w:eastAsia="Calibri" w:hAnsi="Arial"/>
          <w:rtl/>
        </w:rPr>
        <w:t xml:space="preserve"> קמא בפסק דינו את </w:t>
      </w:r>
      <w:proofErr w:type="spellStart"/>
      <w:r>
        <w:rPr>
          <w:rFonts w:ascii="Arial" w:eastAsia="Calibri" w:hAnsi="Arial"/>
          <w:rtl/>
        </w:rPr>
        <w:t>הפ</w:t>
      </w:r>
      <w:r w:rsidR="00411601">
        <w:rPr>
          <w:rFonts w:ascii="Arial" w:eastAsia="Calibri" w:hAnsi="Arial" w:hint="cs"/>
          <w:rtl/>
        </w:rPr>
        <w:t>י</w:t>
      </w:r>
      <w:r>
        <w:rPr>
          <w:rFonts w:ascii="Arial" w:eastAsia="Calibri" w:hAnsi="Arial"/>
          <w:rtl/>
        </w:rPr>
        <w:t>סקה</w:t>
      </w:r>
      <w:proofErr w:type="spellEnd"/>
      <w:r>
        <w:rPr>
          <w:rFonts w:ascii="Arial" w:eastAsia="Calibri" w:hAnsi="Arial"/>
          <w:rtl/>
        </w:rPr>
        <w:t xml:space="preserve"> הבאה </w:t>
      </w:r>
      <w:r w:rsidRPr="00411601">
        <w:rPr>
          <w:rFonts w:ascii="Arial" w:eastAsia="Calibri" w:hAnsi="Arial"/>
          <w:u w:val="single"/>
          <w:rtl/>
        </w:rPr>
        <w:t>בסעיף 12.1 לפס</w:t>
      </w:r>
      <w:r w:rsidR="00411601">
        <w:rPr>
          <w:rFonts w:ascii="Arial" w:eastAsia="Calibri" w:hAnsi="Arial" w:hint="cs"/>
          <w:u w:val="single"/>
          <w:rtl/>
        </w:rPr>
        <w:t>"ד קמא</w:t>
      </w:r>
      <w:r>
        <w:rPr>
          <w:rFonts w:ascii="Arial" w:eastAsia="Calibri" w:hAnsi="Arial"/>
          <w:rtl/>
        </w:rPr>
        <w:t xml:space="preserve">: </w:t>
      </w:r>
    </w:p>
    <w:p w:rsidR="00874C9E" w:rsidRPr="00874C9E" w:rsidRDefault="00874C9E" w:rsidP="00874C9E">
      <w:pPr>
        <w:pStyle w:val="ad"/>
        <w:jc w:val="both"/>
        <w:rPr>
          <w:rFonts w:ascii="Arial" w:eastAsia="Calibri" w:hAnsi="Arial"/>
          <w:sz w:val="20"/>
          <w:szCs w:val="20"/>
          <w:rtl/>
        </w:rPr>
      </w:pPr>
    </w:p>
    <w:p w:rsidR="00874C9E" w:rsidRDefault="00A43A77" w:rsidP="00874C9E">
      <w:pPr>
        <w:pStyle w:val="ad"/>
        <w:spacing w:line="360" w:lineRule="auto"/>
        <w:ind w:left="1440"/>
        <w:jc w:val="both"/>
        <w:rPr>
          <w:rFonts w:ascii="Aharoni" w:eastAsia="Calibri" w:hAnsi="Aharoni" w:cs="Aharoni"/>
          <w:rtl/>
        </w:rPr>
      </w:pPr>
      <w:r>
        <w:rPr>
          <w:rFonts w:ascii="Aharoni" w:eastAsia="Calibri" w:hAnsi="Aharoni" w:cs="Aharoni"/>
          <w:rtl/>
        </w:rPr>
        <w:t>"בא כו</w:t>
      </w:r>
      <w:r w:rsidR="00874C9E">
        <w:rPr>
          <w:rFonts w:ascii="Aharoni" w:eastAsia="Calibri" w:hAnsi="Aharoni" w:cs="Aharoni" w:hint="cs"/>
          <w:rtl/>
        </w:rPr>
        <w:t>ח</w:t>
      </w:r>
      <w:r>
        <w:rPr>
          <w:rFonts w:ascii="Aharoni" w:eastAsia="Calibri" w:hAnsi="Aharoni" w:cs="Aharoni"/>
          <w:rtl/>
        </w:rPr>
        <w:t xml:space="preserve"> התובעת </w:t>
      </w:r>
      <w:r w:rsidRPr="00411601">
        <w:rPr>
          <w:rFonts w:ascii="Aharoni" w:eastAsia="Calibri" w:hAnsi="Aharoni" w:cs="Aharoni"/>
          <w:u w:val="single"/>
          <w:rtl/>
        </w:rPr>
        <w:t>יחלק את התמורה שתתקבל לאחר הפחתת</w:t>
      </w:r>
      <w:r>
        <w:rPr>
          <w:rFonts w:ascii="Aharoni" w:eastAsia="Calibri" w:hAnsi="Aharoni" w:cs="Aharoni"/>
          <w:rtl/>
        </w:rPr>
        <w:t xml:space="preserve"> הוצאות המכירה (אשר בהעדר הסכמה בין הצדדים יאושרו בידי רשם ההוצאה לפועל) לרבות שכרו (אשר בהעדר הסכמה בין הצדדים - </w:t>
      </w:r>
      <w:r>
        <w:rPr>
          <w:rFonts w:ascii="Aharoni" w:eastAsia="Calibri" w:hAnsi="Aharoni" w:cs="Aharoni"/>
          <w:u w:val="single"/>
          <w:rtl/>
        </w:rPr>
        <w:t>כפי שייפסק בהוצאה לפועל</w:t>
      </w:r>
      <w:r>
        <w:rPr>
          <w:rFonts w:ascii="Aharoni" w:eastAsia="Calibri" w:hAnsi="Aharoni" w:cs="Aharoni"/>
          <w:rtl/>
        </w:rPr>
        <w:t xml:space="preserve">) </w:t>
      </w:r>
      <w:r w:rsidRPr="00411601">
        <w:rPr>
          <w:rFonts w:ascii="Aharoni" w:eastAsia="Calibri" w:hAnsi="Aharoni" w:cs="Aharoni"/>
          <w:u w:val="single"/>
          <w:rtl/>
        </w:rPr>
        <w:t>בין הצדדים שווה בשווה</w:t>
      </w:r>
      <w:r>
        <w:rPr>
          <w:rFonts w:ascii="Aharoni" w:eastAsia="Calibri" w:hAnsi="Aharoni" w:cs="Aharoni"/>
          <w:rtl/>
        </w:rPr>
        <w:t xml:space="preserve"> – כפי חלקן של הצדדים בזכויות המקרקעין."</w:t>
      </w:r>
    </w:p>
    <w:p w:rsidR="00A43A77" w:rsidRDefault="00A43A77" w:rsidP="00874C9E">
      <w:pPr>
        <w:pStyle w:val="ad"/>
        <w:spacing w:line="360" w:lineRule="auto"/>
        <w:ind w:left="1440"/>
        <w:jc w:val="both"/>
        <w:rPr>
          <w:rFonts w:ascii="Aharoni" w:eastAsia="Calibri" w:hAnsi="Aharoni" w:cs="Aharoni"/>
        </w:rPr>
      </w:pPr>
      <w:r>
        <w:rPr>
          <w:rFonts w:ascii="Arial" w:eastAsia="Calibri" w:hAnsi="Arial"/>
          <w:rtl/>
        </w:rPr>
        <w:t xml:space="preserve">(להלן: </w:t>
      </w:r>
      <w:r>
        <w:rPr>
          <w:rFonts w:ascii="Arial" w:eastAsia="Calibri" w:hAnsi="Arial"/>
          <w:b/>
          <w:bCs/>
          <w:u w:val="single"/>
          <w:rtl/>
        </w:rPr>
        <w:t>"סעיף 12.1 לפס</w:t>
      </w:r>
      <w:r w:rsidR="00411601">
        <w:rPr>
          <w:rFonts w:ascii="Arial" w:eastAsia="Calibri" w:hAnsi="Arial" w:hint="cs"/>
          <w:b/>
          <w:bCs/>
          <w:u w:val="single"/>
          <w:rtl/>
        </w:rPr>
        <w:t>"ד</w:t>
      </w:r>
      <w:r>
        <w:rPr>
          <w:rFonts w:ascii="Arial" w:eastAsia="Calibri" w:hAnsi="Arial"/>
          <w:b/>
          <w:bCs/>
          <w:u w:val="single"/>
          <w:rtl/>
        </w:rPr>
        <w:t xml:space="preserve"> קמא"</w:t>
      </w:r>
      <w:r>
        <w:rPr>
          <w:rFonts w:ascii="Arial" w:eastAsia="Calibri" w:hAnsi="Arial"/>
          <w:rtl/>
        </w:rPr>
        <w:t>)</w:t>
      </w:r>
    </w:p>
    <w:p w:rsidR="00874C9E" w:rsidRPr="00874C9E" w:rsidRDefault="00A43A77" w:rsidP="00477DEE">
      <w:pPr>
        <w:ind w:left="720" w:hanging="720"/>
        <w:jc w:val="both"/>
        <w:rPr>
          <w:rFonts w:ascii="Courier New" w:eastAsia="Calibri" w:hAnsi="Courier New" w:cs="Courier New"/>
          <w:sz w:val="12"/>
          <w:szCs w:val="12"/>
          <w:rtl/>
        </w:rPr>
      </w:pPr>
      <w:r w:rsidRPr="00874C9E">
        <w:rPr>
          <w:rFonts w:ascii="Arial" w:eastAsia="Calibri" w:hAnsi="Arial"/>
          <w:sz w:val="12"/>
          <w:szCs w:val="12"/>
          <w:rtl/>
        </w:rPr>
        <w:tab/>
      </w:r>
    </w:p>
    <w:p w:rsidR="00A43A77" w:rsidRDefault="00A43A77" w:rsidP="00874C9E">
      <w:pPr>
        <w:ind w:left="720"/>
        <w:jc w:val="both"/>
        <w:rPr>
          <w:rFonts w:ascii="Courier New" w:eastAsia="Calibri" w:hAnsi="Courier New" w:cs="Courier New"/>
          <w:sz w:val="22"/>
          <w:szCs w:val="22"/>
          <w:rtl/>
        </w:rPr>
      </w:pPr>
      <w:r w:rsidRPr="00477DEE">
        <w:rPr>
          <w:rFonts w:ascii="Courier New" w:eastAsia="Calibri" w:hAnsi="Courier New" w:cs="Courier New"/>
          <w:sz w:val="22"/>
          <w:szCs w:val="22"/>
          <w:rtl/>
        </w:rPr>
        <w:t>ההדגשות בציטוט לעיל אינן במקור אלא נועדו להבהיר בהמשך מדוע טענות המבקשים בעניין פ</w:t>
      </w:r>
      <w:r w:rsidR="00411601" w:rsidRPr="00477DEE">
        <w:rPr>
          <w:rFonts w:ascii="Courier New" w:eastAsia="Calibri" w:hAnsi="Courier New" w:cs="Courier New"/>
          <w:sz w:val="22"/>
          <w:szCs w:val="22"/>
          <w:rtl/>
        </w:rPr>
        <w:t>י</w:t>
      </w:r>
      <w:r w:rsidRPr="00477DEE">
        <w:rPr>
          <w:rFonts w:ascii="Courier New" w:eastAsia="Calibri" w:hAnsi="Courier New" w:cs="Courier New"/>
          <w:sz w:val="22"/>
          <w:szCs w:val="22"/>
          <w:rtl/>
        </w:rPr>
        <w:t xml:space="preserve">סקה זו, </w:t>
      </w:r>
      <w:r w:rsidR="00411601" w:rsidRPr="00477DEE">
        <w:rPr>
          <w:rFonts w:ascii="Courier New" w:eastAsia="Calibri" w:hAnsi="Courier New" w:cs="Courier New"/>
          <w:sz w:val="22"/>
          <w:szCs w:val="22"/>
          <w:rtl/>
        </w:rPr>
        <w:t xml:space="preserve">דינן </w:t>
      </w:r>
      <w:r w:rsidRPr="00477DEE">
        <w:rPr>
          <w:rFonts w:ascii="Courier New" w:eastAsia="Calibri" w:hAnsi="Courier New" w:cs="Courier New"/>
          <w:sz w:val="22"/>
          <w:szCs w:val="22"/>
          <w:rtl/>
        </w:rPr>
        <w:t xml:space="preserve">להידחות. </w:t>
      </w:r>
    </w:p>
    <w:p w:rsidR="00874C9E" w:rsidRDefault="00874C9E" w:rsidP="00477DEE">
      <w:pPr>
        <w:ind w:left="720" w:hanging="720"/>
        <w:jc w:val="both"/>
        <w:rPr>
          <w:rFonts w:ascii="Courier New" w:eastAsia="Calibri" w:hAnsi="Courier New" w:cs="Courier New"/>
          <w:sz w:val="22"/>
          <w:szCs w:val="22"/>
          <w:rtl/>
        </w:rPr>
      </w:pPr>
    </w:p>
    <w:p w:rsidR="00A43A77" w:rsidRDefault="00A43A77" w:rsidP="0041160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>בהתאם לפס</w:t>
      </w:r>
      <w:r w:rsidR="00411601">
        <w:rPr>
          <w:rFonts w:ascii="Arial" w:eastAsia="Calibri" w:hAnsi="Arial" w:hint="cs"/>
          <w:rtl/>
        </w:rPr>
        <w:t xml:space="preserve">"ד </w:t>
      </w:r>
      <w:r>
        <w:rPr>
          <w:rFonts w:ascii="Arial" w:eastAsia="Calibri" w:hAnsi="Arial"/>
          <w:rtl/>
        </w:rPr>
        <w:t>קמא, הליך פירוק השיתוף אכן התנהל ב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>, ולאחר סיומו קבעה כב' רשמת ה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 xml:space="preserve"> לעניין שכרו של כונס הנכסים </w:t>
      </w:r>
      <w:r w:rsidR="00411601">
        <w:rPr>
          <w:rFonts w:ascii="Arial" w:eastAsia="Calibri" w:hAnsi="Arial" w:hint="cs"/>
          <w:rtl/>
        </w:rPr>
        <w:t xml:space="preserve">(הוא המשיב 1 </w:t>
      </w:r>
      <w:proofErr w:type="spellStart"/>
      <w:r w:rsidR="00411601">
        <w:rPr>
          <w:rFonts w:ascii="Arial" w:eastAsia="Calibri" w:hAnsi="Arial" w:hint="cs"/>
          <w:rtl/>
        </w:rPr>
        <w:t>בנידונינו</w:t>
      </w:r>
      <w:proofErr w:type="spellEnd"/>
      <w:r w:rsidR="00411601">
        <w:rPr>
          <w:rFonts w:ascii="Arial" w:eastAsia="Calibri" w:hAnsi="Arial" w:hint="cs"/>
          <w:rtl/>
        </w:rPr>
        <w:t xml:space="preserve">) </w:t>
      </w:r>
      <w:r>
        <w:rPr>
          <w:rFonts w:ascii="Arial" w:eastAsia="Calibri" w:hAnsi="Arial"/>
          <w:rtl/>
        </w:rPr>
        <w:t xml:space="preserve">כדלקמן: </w:t>
      </w:r>
    </w:p>
    <w:p w:rsidR="00411601" w:rsidRPr="00034D74" w:rsidRDefault="00411601" w:rsidP="00411601">
      <w:pPr>
        <w:pStyle w:val="ad"/>
        <w:spacing w:line="360" w:lineRule="auto"/>
        <w:jc w:val="both"/>
        <w:rPr>
          <w:rFonts w:ascii="Arial" w:eastAsia="Calibri" w:hAnsi="Arial"/>
          <w:sz w:val="16"/>
          <w:szCs w:val="16"/>
          <w:rtl/>
        </w:rPr>
      </w:pPr>
    </w:p>
    <w:p w:rsidR="00A43A77" w:rsidRDefault="00A43A77" w:rsidP="008A04B0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eastAsia="Calibri" w:hAnsi="Arial"/>
        </w:rPr>
      </w:pPr>
      <w:r w:rsidRPr="00874C9E">
        <w:rPr>
          <w:rFonts w:ascii="Arial" w:eastAsia="Calibri" w:hAnsi="Arial"/>
          <w:b/>
          <w:bCs/>
          <w:u w:val="single"/>
          <w:rtl/>
        </w:rPr>
        <w:t xml:space="preserve">שכר טרחת </w:t>
      </w:r>
      <w:r w:rsidR="00411601" w:rsidRPr="00874C9E">
        <w:rPr>
          <w:rFonts w:ascii="Arial" w:eastAsia="Calibri" w:hAnsi="Arial" w:hint="cs"/>
          <w:b/>
          <w:bCs/>
          <w:u w:val="single"/>
          <w:rtl/>
        </w:rPr>
        <w:t>כונס הנכסים</w:t>
      </w:r>
      <w:r w:rsidRPr="00874C9E">
        <w:rPr>
          <w:rFonts w:ascii="Arial" w:eastAsia="Calibri" w:hAnsi="Arial"/>
          <w:b/>
          <w:bCs/>
          <w:u w:val="single"/>
          <w:rtl/>
        </w:rPr>
        <w:t xml:space="preserve"> יעמוד על 7% מתמורת המכר בתוספת מע"מ</w:t>
      </w:r>
      <w:r w:rsidRPr="00874C9E">
        <w:rPr>
          <w:rFonts w:ascii="Arial" w:eastAsia="Calibri" w:hAnsi="Arial"/>
          <w:b/>
          <w:bCs/>
          <w:rtl/>
        </w:rPr>
        <w:t>;</w:t>
      </w:r>
      <w:r>
        <w:rPr>
          <w:rFonts w:ascii="Arial" w:eastAsia="Calibri" w:hAnsi="Arial"/>
          <w:rtl/>
        </w:rPr>
        <w:t xml:space="preserve"> &gt;&gt; בעניין זה דחתה כב' רשמת ה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 xml:space="preserve"> את טענת המבקשים- שהואיל ובסופו של יום מדובר ב"הליך משפחה" הרי ששכרו של הכונס לא יכול להעלות על 4% מתקבולי המימוש </w:t>
      </w:r>
      <w:r>
        <w:rPr>
          <w:rFonts w:ascii="Arial" w:eastAsia="Calibri" w:hAnsi="Arial"/>
          <w:rtl/>
        </w:rPr>
        <w:lastRenderedPageBreak/>
        <w:t xml:space="preserve">וזאת בהתאם לסעיף 36(ב) לתקנות </w:t>
      </w:r>
      <w:r w:rsidR="00411601">
        <w:rPr>
          <w:rFonts w:ascii="Arial" w:eastAsia="Calibri" w:hAnsi="Arial" w:hint="cs"/>
          <w:rtl/>
        </w:rPr>
        <w:t>משפחה המגביל את שכרו של הכונס עד</w:t>
      </w:r>
      <w:r w:rsidR="00874C9E">
        <w:rPr>
          <w:rFonts w:ascii="Arial" w:eastAsia="Calibri" w:hAnsi="Arial" w:hint="cs"/>
          <w:rtl/>
        </w:rPr>
        <w:t xml:space="preserve"> ל-</w:t>
      </w:r>
      <w:r w:rsidR="00411601">
        <w:rPr>
          <w:rFonts w:ascii="Arial" w:eastAsia="Calibri" w:hAnsi="Arial" w:hint="cs"/>
          <w:rtl/>
        </w:rPr>
        <w:t>4% ולא יותר</w:t>
      </w:r>
      <w:r>
        <w:rPr>
          <w:rFonts w:ascii="Arial" w:eastAsia="Calibri" w:hAnsi="Arial"/>
          <w:rtl/>
        </w:rPr>
        <w:t xml:space="preserve">. כב' רשמת ההוצל"פ דחתה טענה זו, </w:t>
      </w:r>
      <w:r w:rsidR="008A04B0">
        <w:rPr>
          <w:rFonts w:ascii="Arial" w:eastAsia="Calibri" w:hAnsi="Arial" w:hint="cs"/>
          <w:rtl/>
        </w:rPr>
        <w:t xml:space="preserve">שכן </w:t>
      </w:r>
      <w:r>
        <w:rPr>
          <w:rFonts w:ascii="Arial" w:eastAsia="Calibri" w:hAnsi="Arial"/>
          <w:rtl/>
        </w:rPr>
        <w:t xml:space="preserve">מימוש הנכס התבצע </w:t>
      </w:r>
      <w:r>
        <w:rPr>
          <w:rFonts w:ascii="Arial" w:eastAsia="Calibri" w:hAnsi="Arial"/>
          <w:u w:val="single"/>
          <w:rtl/>
        </w:rPr>
        <w:t>בהוצל"פ</w:t>
      </w:r>
      <w:r>
        <w:rPr>
          <w:rFonts w:ascii="Arial" w:eastAsia="Calibri" w:hAnsi="Arial"/>
          <w:rtl/>
        </w:rPr>
        <w:t xml:space="preserve"> ולא ב</w:t>
      </w:r>
      <w:r w:rsidR="009A3022">
        <w:rPr>
          <w:rFonts w:ascii="Arial" w:eastAsia="Calibri" w:hAnsi="Arial"/>
          <w:rtl/>
        </w:rPr>
        <w:t>ביהמ"ש</w:t>
      </w:r>
      <w:r w:rsidR="00411601">
        <w:rPr>
          <w:rFonts w:ascii="Arial" w:eastAsia="Calibri" w:hAnsi="Arial" w:hint="cs"/>
          <w:rtl/>
        </w:rPr>
        <w:t xml:space="preserve"> לענייני משפחה,</w:t>
      </w:r>
      <w:r>
        <w:rPr>
          <w:rFonts w:ascii="Arial" w:eastAsia="Calibri" w:hAnsi="Arial"/>
          <w:rtl/>
        </w:rPr>
        <w:t xml:space="preserve"> </w:t>
      </w:r>
      <w:r>
        <w:rPr>
          <w:rFonts w:ascii="Arial" w:eastAsia="Calibri" w:hAnsi="Arial"/>
          <w:u w:val="single"/>
          <w:rtl/>
        </w:rPr>
        <w:t>ותחת פיקוח רשם ההוצל"פ והוראותיו</w:t>
      </w:r>
      <w:r>
        <w:rPr>
          <w:rFonts w:ascii="Arial" w:eastAsia="Calibri" w:hAnsi="Arial"/>
          <w:rtl/>
        </w:rPr>
        <w:t xml:space="preserve"> </w:t>
      </w:r>
      <w:r w:rsidR="00411601">
        <w:rPr>
          <w:rFonts w:ascii="Arial" w:eastAsia="Calibri" w:hAnsi="Arial" w:hint="cs"/>
          <w:rtl/>
        </w:rPr>
        <w:t xml:space="preserve">ולא תחת פיקוח ביהמ"ש לענייני משפחה, </w:t>
      </w:r>
      <w:r>
        <w:rPr>
          <w:rFonts w:ascii="Arial" w:eastAsia="Calibri" w:hAnsi="Arial"/>
          <w:rtl/>
        </w:rPr>
        <w:t>וההגבלה הנ"ל בתקנות משפחה אינה חלה על ההוצל"פ</w:t>
      </w:r>
      <w:r w:rsidR="00411601">
        <w:rPr>
          <w:rFonts w:ascii="Arial" w:eastAsia="Calibri" w:hAnsi="Arial" w:hint="cs"/>
          <w:rtl/>
        </w:rPr>
        <w:t>, גם אם פסה"ד המבוצע בהוצל"פ הינו פס"ד שניתן ע"י ביהמ"ש לענייני משפחה</w:t>
      </w:r>
      <w:r>
        <w:rPr>
          <w:rFonts w:ascii="Arial" w:eastAsia="Calibri" w:hAnsi="Arial"/>
          <w:rtl/>
        </w:rPr>
        <w:t xml:space="preserve">. </w:t>
      </w:r>
      <w:r w:rsidR="00477DEE">
        <w:rPr>
          <w:rFonts w:ascii="Arial" w:eastAsia="Calibri" w:hAnsi="Arial" w:hint="cs"/>
          <w:rtl/>
        </w:rPr>
        <w:t>נותן הפסק לחוד והמ</w:t>
      </w:r>
      <w:r w:rsidR="008A04B0">
        <w:rPr>
          <w:rFonts w:ascii="Arial" w:eastAsia="Calibri" w:hAnsi="Arial" w:hint="cs"/>
          <w:rtl/>
        </w:rPr>
        <w:t>ב</w:t>
      </w:r>
      <w:r w:rsidR="00477DEE">
        <w:rPr>
          <w:rFonts w:ascii="Arial" w:eastAsia="Calibri" w:hAnsi="Arial" w:hint="cs"/>
          <w:rtl/>
        </w:rPr>
        <w:t>צע לחוד.</w:t>
      </w:r>
    </w:p>
    <w:p w:rsidR="00A43A77" w:rsidRPr="00034D74" w:rsidRDefault="00A43A77" w:rsidP="00A43A77">
      <w:pPr>
        <w:pStyle w:val="ad"/>
        <w:spacing w:line="360" w:lineRule="auto"/>
        <w:ind w:left="1080"/>
        <w:jc w:val="both"/>
        <w:rPr>
          <w:rFonts w:ascii="Arial" w:eastAsia="Calibri" w:hAnsi="Arial"/>
          <w:sz w:val="16"/>
          <w:szCs w:val="16"/>
          <w:rtl/>
        </w:rPr>
      </w:pPr>
    </w:p>
    <w:p w:rsidR="00A43A77" w:rsidRDefault="00A43A77" w:rsidP="00477DEE">
      <w:pPr>
        <w:pStyle w:val="ad"/>
        <w:numPr>
          <w:ilvl w:val="0"/>
          <w:numId w:val="2"/>
        </w:numPr>
        <w:spacing w:line="360" w:lineRule="auto"/>
        <w:jc w:val="both"/>
        <w:rPr>
          <w:rFonts w:ascii="Aharoni" w:eastAsia="Calibri" w:hAnsi="Aharoni" w:cs="Aharoni"/>
          <w:u w:val="single"/>
        </w:rPr>
      </w:pPr>
      <w:r w:rsidRPr="00874C9E">
        <w:rPr>
          <w:rFonts w:ascii="Arial" w:eastAsia="Calibri" w:hAnsi="Arial"/>
          <w:b/>
          <w:bCs/>
          <w:u w:val="single"/>
          <w:rtl/>
        </w:rPr>
        <w:t>בשכר הטרחה יישאו שני הצדדים לא באופן שווה אלא המבקשים יישאו ב-75% ואילו המשיבה תישא ב- 25%</w:t>
      </w:r>
      <w:r w:rsidRPr="00874C9E">
        <w:rPr>
          <w:rFonts w:ascii="Arial" w:eastAsia="Calibri" w:hAnsi="Arial"/>
          <w:b/>
          <w:bCs/>
          <w:rtl/>
        </w:rPr>
        <w:t>;</w:t>
      </w:r>
      <w:r>
        <w:rPr>
          <w:rFonts w:ascii="Arial" w:eastAsia="Calibri" w:hAnsi="Arial"/>
          <w:rtl/>
        </w:rPr>
        <w:t xml:space="preserve"> &gt;&gt; את החלטתה זו נימקה כב' רשמת ה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 xml:space="preserve"> בכך שתיק ההוצל"פ נפתח לנוכח סירובם של המבקשים למלא אחר פס</w:t>
      </w:r>
      <w:r w:rsidR="00477DEE">
        <w:rPr>
          <w:rFonts w:ascii="Arial" w:eastAsia="Calibri" w:hAnsi="Arial" w:hint="cs"/>
          <w:rtl/>
        </w:rPr>
        <w:t>"ד</w:t>
      </w:r>
      <w:r>
        <w:rPr>
          <w:rFonts w:ascii="Arial" w:eastAsia="Calibri" w:hAnsi="Arial"/>
          <w:rtl/>
        </w:rPr>
        <w:t xml:space="preserve"> קמא</w:t>
      </w:r>
      <w:r w:rsidR="00477DEE">
        <w:rPr>
          <w:rFonts w:ascii="Arial" w:eastAsia="Calibri" w:hAnsi="Arial" w:hint="cs"/>
          <w:rtl/>
        </w:rPr>
        <w:t xml:space="preserve"> ואחיזתם</w:t>
      </w:r>
      <w:r>
        <w:rPr>
          <w:rFonts w:ascii="Arial" w:eastAsia="Calibri" w:hAnsi="Arial"/>
          <w:rtl/>
        </w:rPr>
        <w:t xml:space="preserve"> בנכס והצורך בפינוי</w:t>
      </w:r>
      <w:r w:rsidR="00477DEE">
        <w:rPr>
          <w:rFonts w:ascii="Arial" w:eastAsia="Calibri" w:hAnsi="Arial" w:hint="cs"/>
          <w:rtl/>
        </w:rPr>
        <w:t>י</w:t>
      </w:r>
      <w:r>
        <w:rPr>
          <w:rFonts w:ascii="Arial" w:eastAsia="Calibri" w:hAnsi="Arial"/>
          <w:rtl/>
        </w:rPr>
        <w:t xml:space="preserve">ם חרף הקביעות הברורות של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בפס</w:t>
      </w:r>
      <w:r w:rsidR="00477DEE">
        <w:rPr>
          <w:rFonts w:ascii="Arial" w:eastAsia="Calibri" w:hAnsi="Arial" w:hint="cs"/>
          <w:rtl/>
        </w:rPr>
        <w:t>"ד</w:t>
      </w:r>
      <w:r>
        <w:rPr>
          <w:rFonts w:ascii="Arial" w:eastAsia="Calibri" w:hAnsi="Arial"/>
          <w:rtl/>
        </w:rPr>
        <w:t xml:space="preserve"> קמא. כב' רשמת ה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 xml:space="preserve"> הרחיבה בנימוקה והוסיפה כי התנגדויות המבקשים בהליך ההוצל"פ היו מעבר לרגיל ומשכך הם צריכים לשאת בתוצאות הנובעות מכך. את נימוקה זה סיימה כב' רשמת ההוצל"פ במילים </w:t>
      </w:r>
      <w:r>
        <w:rPr>
          <w:rFonts w:ascii="Aharoni" w:eastAsia="Calibri" w:hAnsi="Aharoni" w:cs="Aharoni"/>
          <w:rtl/>
        </w:rPr>
        <w:t>"חלוקה זו נראית הוגנת בנסיבות העניין"</w:t>
      </w:r>
      <w:r>
        <w:rPr>
          <w:rFonts w:ascii="David" w:eastAsia="Calibri" w:hAnsi="David"/>
          <w:rtl/>
        </w:rPr>
        <w:t xml:space="preserve">. </w:t>
      </w:r>
    </w:p>
    <w:p w:rsidR="00A43A77" w:rsidRDefault="00A43A77" w:rsidP="00034D74">
      <w:pPr>
        <w:jc w:val="both"/>
        <w:rPr>
          <w:rFonts w:ascii="Aharoni" w:eastAsia="Calibri" w:hAnsi="Aharoni" w:cs="Aharoni"/>
          <w:u w:val="single"/>
        </w:rPr>
      </w:pPr>
    </w:p>
    <w:p w:rsidR="00A43A77" w:rsidRDefault="00A43A77" w:rsidP="008A04B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 xml:space="preserve">המבקשים </w:t>
      </w:r>
      <w:r w:rsidR="008A04B0">
        <w:rPr>
          <w:rFonts w:ascii="Arial" w:eastAsia="Calibri" w:hAnsi="Arial" w:hint="cs"/>
          <w:rtl/>
        </w:rPr>
        <w:t>מימשו את זכותם ל</w:t>
      </w:r>
      <w:r>
        <w:rPr>
          <w:rFonts w:ascii="Arial" w:eastAsia="Calibri" w:hAnsi="Arial"/>
          <w:rtl/>
        </w:rPr>
        <w:t xml:space="preserve">ערעור בזכות </w:t>
      </w:r>
      <w:r w:rsidR="008A04B0">
        <w:rPr>
          <w:rFonts w:ascii="Arial" w:eastAsia="Calibri" w:hAnsi="Arial" w:hint="cs"/>
          <w:rtl/>
        </w:rPr>
        <w:t xml:space="preserve">בפני בימ"ש קמא ולמעשה </w:t>
      </w:r>
      <w:r>
        <w:rPr>
          <w:rFonts w:ascii="Arial" w:eastAsia="Calibri" w:hAnsi="Arial"/>
          <w:rtl/>
        </w:rPr>
        <w:t xml:space="preserve">טענו את אותן טענות שטענו בפני ההוצל"פ – אלו הן בתמצית: הגם שמדובר בהליך הוצל"פ, ברם הואיל ונשוא הליך ההוצל"פ היה </w:t>
      </w:r>
      <w:r w:rsidR="00477DEE">
        <w:rPr>
          <w:rFonts w:ascii="Arial" w:eastAsia="Calibri" w:hAnsi="Arial" w:hint="cs"/>
          <w:rtl/>
        </w:rPr>
        <w:t>'</w:t>
      </w:r>
      <w:r>
        <w:rPr>
          <w:rFonts w:ascii="Arial" w:eastAsia="Calibri" w:hAnsi="Arial"/>
          <w:rtl/>
        </w:rPr>
        <w:t>הליך משפחה</w:t>
      </w:r>
      <w:r w:rsidR="00477DEE">
        <w:rPr>
          <w:rFonts w:ascii="Arial" w:eastAsia="Calibri" w:hAnsi="Arial" w:hint="cs"/>
          <w:rtl/>
        </w:rPr>
        <w:t>'</w:t>
      </w:r>
      <w:r>
        <w:rPr>
          <w:rFonts w:ascii="Arial" w:eastAsia="Calibri" w:hAnsi="Arial"/>
          <w:rtl/>
        </w:rPr>
        <w:t xml:space="preserve">, הרי שתקנות משפחה חלות במקרה שכזה גם על ההוצל"פ; </w:t>
      </w:r>
      <w:r w:rsidR="00477DEE">
        <w:rPr>
          <w:rFonts w:ascii="Arial" w:eastAsia="Calibri" w:hAnsi="Arial" w:hint="cs"/>
          <w:rtl/>
        </w:rPr>
        <w:t xml:space="preserve">חלוקת הנשיאה בנטל תשלום שכ"ט הכונס באופן לא שווה נוגדת את סעיף 12.1 לפס"ד קמא; </w:t>
      </w:r>
      <w:r>
        <w:rPr>
          <w:rFonts w:ascii="Arial" w:eastAsia="Calibri" w:hAnsi="Arial"/>
          <w:rtl/>
        </w:rPr>
        <w:t>שכ</w:t>
      </w:r>
      <w:r w:rsidR="00477DEE">
        <w:rPr>
          <w:rFonts w:ascii="Arial" w:eastAsia="Calibri" w:hAnsi="Arial" w:hint="cs"/>
          <w:rtl/>
        </w:rPr>
        <w:t>"ט הכונס אמור</w:t>
      </w:r>
      <w:r>
        <w:rPr>
          <w:rFonts w:ascii="Arial" w:eastAsia="Calibri" w:hAnsi="Arial"/>
          <w:rtl/>
        </w:rPr>
        <w:t xml:space="preserve"> היה להיגזר לא מסכום התמורה הכולל אלא רק ברכיבים שבהם היו אמורים הצדדים לשאת כמוכרים ולא ברכיבים שכונס הנכסים טיפול בהם עבור הקונים.</w:t>
      </w:r>
    </w:p>
    <w:p w:rsidR="00A43A77" w:rsidRDefault="00A43A77" w:rsidP="00034D74">
      <w:pPr>
        <w:jc w:val="both"/>
        <w:rPr>
          <w:rFonts w:ascii="Arial" w:eastAsia="Calibri" w:hAnsi="Arial"/>
        </w:rPr>
      </w:pPr>
    </w:p>
    <w:p w:rsidR="00A43A77" w:rsidRDefault="00A43A77" w:rsidP="008F7B5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>לאחר ש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קמא עיין בערעור, החליט לדחותו ללא צורך </w:t>
      </w:r>
      <w:r w:rsidR="008F7B5E">
        <w:rPr>
          <w:rFonts w:ascii="Arial" w:eastAsia="Calibri" w:hAnsi="Arial" w:hint="cs"/>
          <w:rtl/>
        </w:rPr>
        <w:t>בתשובת המשיבים ו</w:t>
      </w:r>
      <w:r>
        <w:rPr>
          <w:rFonts w:ascii="Arial" w:eastAsia="Calibri" w:hAnsi="Arial"/>
          <w:rtl/>
        </w:rPr>
        <w:t xml:space="preserve">בקיום דיון </w:t>
      </w:r>
      <w:r w:rsidR="008F7B5E">
        <w:rPr>
          <w:rFonts w:ascii="Arial" w:eastAsia="Calibri" w:hAnsi="Arial" w:hint="cs"/>
          <w:rtl/>
        </w:rPr>
        <w:t>בע"פ</w:t>
      </w:r>
      <w:r>
        <w:rPr>
          <w:rFonts w:ascii="Arial" w:eastAsia="Calibri" w:hAnsi="Arial"/>
          <w:rtl/>
        </w:rPr>
        <w:t>, תוך שקבע בפסק דינו</w:t>
      </w:r>
      <w:r w:rsidR="008F7B5E">
        <w:rPr>
          <w:rFonts w:ascii="Arial" w:eastAsia="Calibri" w:hAnsi="Arial" w:hint="cs"/>
          <w:rtl/>
        </w:rPr>
        <w:t xml:space="preserve"> מושא ערעור זה</w:t>
      </w:r>
      <w:r>
        <w:rPr>
          <w:rFonts w:ascii="Arial" w:eastAsia="Calibri" w:hAnsi="Arial"/>
          <w:rtl/>
        </w:rPr>
        <w:t xml:space="preserve"> (להלן: </w:t>
      </w:r>
      <w:r>
        <w:rPr>
          <w:rFonts w:ascii="Arial" w:eastAsia="Calibri" w:hAnsi="Arial"/>
          <w:b/>
          <w:bCs/>
          <w:rtl/>
        </w:rPr>
        <w:t>"פסה"ד בערעור")</w:t>
      </w:r>
      <w:r>
        <w:rPr>
          <w:rFonts w:ascii="Arial" w:eastAsia="Calibri" w:hAnsi="Arial"/>
          <w:rtl/>
        </w:rPr>
        <w:t xml:space="preserve"> כי טענות המבקשים שגויות: </w:t>
      </w:r>
    </w:p>
    <w:p w:rsidR="00A43A77" w:rsidRDefault="00A43A77" w:rsidP="00034D74">
      <w:pPr>
        <w:pStyle w:val="ad"/>
        <w:rPr>
          <w:rFonts w:ascii="Arial" w:eastAsia="Calibri" w:hAnsi="Arial"/>
        </w:rPr>
      </w:pPr>
    </w:p>
    <w:p w:rsidR="00A43A77" w:rsidRDefault="00A43A77" w:rsidP="008A04B0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eastAsia="Calibri" w:hAnsi="Arial"/>
        </w:rPr>
      </w:pPr>
      <w:r w:rsidRPr="008F7B5E">
        <w:rPr>
          <w:rFonts w:ascii="Arial" w:eastAsia="Calibri" w:hAnsi="Arial"/>
          <w:u w:val="single"/>
          <w:rtl/>
        </w:rPr>
        <w:t>ביחס להגבלת שכר הטרחה ל-4% בהתאם לתקנות המשפחה</w:t>
      </w:r>
      <w:r>
        <w:rPr>
          <w:rFonts w:ascii="Arial" w:eastAsia="Calibri" w:hAnsi="Arial"/>
          <w:rtl/>
        </w:rPr>
        <w:t xml:space="preserve"> – תקנות משפחה חלות אך ורק על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 (לרבות ערכאת ערעור), אך אינן חלות על 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>, אף אם ההליך ב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 xml:space="preserve"> הינו מכוחו של פס</w:t>
      </w:r>
      <w:r w:rsidR="008F7B5E">
        <w:rPr>
          <w:rFonts w:ascii="Arial" w:eastAsia="Calibri" w:hAnsi="Arial" w:hint="cs"/>
          <w:rtl/>
        </w:rPr>
        <w:t>"ד</w:t>
      </w:r>
      <w:r>
        <w:rPr>
          <w:rFonts w:ascii="Arial" w:eastAsia="Calibri" w:hAnsi="Arial"/>
          <w:rtl/>
        </w:rPr>
        <w:t xml:space="preserve"> של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משפחה.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אף הפנה לסעיף 12.1 ל</w:t>
      </w:r>
      <w:r w:rsidR="00477DEE">
        <w:rPr>
          <w:rFonts w:ascii="Arial" w:eastAsia="Calibri" w:hAnsi="Arial"/>
          <w:rtl/>
        </w:rPr>
        <w:t>פס"ד קמא</w:t>
      </w:r>
      <w:r>
        <w:rPr>
          <w:rFonts w:ascii="Arial" w:eastAsia="Calibri" w:hAnsi="Arial"/>
          <w:rtl/>
        </w:rPr>
        <w:t xml:space="preserve"> (צוטט בסעיף 2 לעיל) שבו נקבע במפורש </w:t>
      </w:r>
      <w:r w:rsidR="008A04B0" w:rsidRPr="008A04B0">
        <w:rPr>
          <w:rFonts w:ascii="Arial" w:eastAsia="Calibri" w:hAnsi="Arial" w:hint="cs"/>
          <w:u w:val="single"/>
          <w:rtl/>
        </w:rPr>
        <w:t>ע"י ביהמ"ש עצמו</w:t>
      </w:r>
      <w:r w:rsidR="008A04B0">
        <w:rPr>
          <w:rFonts w:ascii="Arial" w:eastAsia="Calibri" w:hAnsi="Arial" w:hint="cs"/>
          <w:rtl/>
        </w:rPr>
        <w:t xml:space="preserve"> </w:t>
      </w:r>
      <w:r>
        <w:rPr>
          <w:rFonts w:ascii="Arial" w:eastAsia="Calibri" w:hAnsi="Arial"/>
          <w:rtl/>
        </w:rPr>
        <w:t xml:space="preserve">כי פסיקת שכר הטרחה תהיה </w:t>
      </w:r>
      <w:r>
        <w:rPr>
          <w:rFonts w:ascii="Arial" w:eastAsia="Calibri" w:hAnsi="Arial"/>
          <w:u w:val="single"/>
          <w:rtl/>
        </w:rPr>
        <w:t>ב</w:t>
      </w:r>
      <w:r w:rsidR="00411601">
        <w:rPr>
          <w:rFonts w:ascii="Arial" w:eastAsia="Calibri" w:hAnsi="Arial"/>
          <w:u w:val="single"/>
          <w:rtl/>
        </w:rPr>
        <w:t>הוצל"פ</w:t>
      </w:r>
      <w:r>
        <w:rPr>
          <w:rFonts w:ascii="Arial" w:eastAsia="Calibri" w:hAnsi="Arial"/>
          <w:u w:val="single"/>
          <w:rtl/>
        </w:rPr>
        <w:t xml:space="preserve"> וכפי שייפסק שם</w:t>
      </w:r>
      <w:r>
        <w:rPr>
          <w:rFonts w:ascii="Arial" w:eastAsia="Calibri" w:hAnsi="Arial"/>
          <w:rtl/>
        </w:rPr>
        <w:t xml:space="preserve">. </w:t>
      </w:r>
    </w:p>
    <w:p w:rsidR="008F7B5E" w:rsidRDefault="008F7B5E" w:rsidP="00034D74">
      <w:pPr>
        <w:pStyle w:val="ad"/>
        <w:ind w:left="1080"/>
        <w:jc w:val="both"/>
        <w:rPr>
          <w:rFonts w:ascii="Arial" w:eastAsia="Calibri" w:hAnsi="Arial"/>
          <w:rtl/>
        </w:rPr>
      </w:pPr>
    </w:p>
    <w:p w:rsidR="00A43A77" w:rsidRDefault="00A43A77" w:rsidP="008A04B0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eastAsia="Calibri" w:hAnsi="Arial"/>
        </w:rPr>
      </w:pPr>
      <w:r w:rsidRPr="008F7B5E">
        <w:rPr>
          <w:rFonts w:ascii="Arial" w:eastAsia="Calibri" w:hAnsi="Arial"/>
          <w:u w:val="single"/>
          <w:rtl/>
        </w:rPr>
        <w:t>ביחס לאופן חלוקת חיובי שכ</w:t>
      </w:r>
      <w:r w:rsidR="008F7B5E">
        <w:rPr>
          <w:rFonts w:ascii="Arial" w:eastAsia="Calibri" w:hAnsi="Arial" w:hint="cs"/>
          <w:u w:val="single"/>
          <w:rtl/>
        </w:rPr>
        <w:t xml:space="preserve">"ט </w:t>
      </w:r>
      <w:r w:rsidRPr="008F7B5E">
        <w:rPr>
          <w:rFonts w:ascii="Arial" w:eastAsia="Calibri" w:hAnsi="Arial"/>
          <w:u w:val="single"/>
          <w:rtl/>
        </w:rPr>
        <w:t xml:space="preserve">כונס הנכסים </w:t>
      </w:r>
      <w:r w:rsidR="008F7B5E">
        <w:rPr>
          <w:rFonts w:ascii="Arial" w:eastAsia="Calibri" w:hAnsi="Arial" w:hint="cs"/>
          <w:u w:val="single"/>
          <w:rtl/>
        </w:rPr>
        <w:t xml:space="preserve">על </w:t>
      </w:r>
      <w:r w:rsidRPr="008F7B5E">
        <w:rPr>
          <w:rFonts w:ascii="Arial" w:eastAsia="Calibri" w:hAnsi="Arial"/>
          <w:u w:val="single"/>
          <w:rtl/>
        </w:rPr>
        <w:t>הצדדים</w:t>
      </w:r>
      <w:r w:rsidR="008F7B5E" w:rsidRPr="008F7B5E">
        <w:rPr>
          <w:rFonts w:ascii="Arial" w:eastAsia="Calibri" w:hAnsi="Arial" w:hint="cs"/>
          <w:u w:val="single"/>
          <w:rtl/>
        </w:rPr>
        <w:t xml:space="preserve"> לא באופן שווה</w:t>
      </w:r>
      <w:r>
        <w:rPr>
          <w:rFonts w:ascii="Arial" w:eastAsia="Calibri" w:hAnsi="Arial"/>
          <w:rtl/>
        </w:rPr>
        <w:t xml:space="preserve"> – </w:t>
      </w:r>
      <w:r w:rsidR="008F7B5E">
        <w:rPr>
          <w:rFonts w:ascii="Arial" w:eastAsia="Calibri" w:hAnsi="Arial" w:hint="cs"/>
          <w:rtl/>
        </w:rPr>
        <w:t>טועים</w:t>
      </w:r>
      <w:r>
        <w:rPr>
          <w:rFonts w:ascii="Arial" w:eastAsia="Calibri" w:hAnsi="Arial"/>
          <w:rtl/>
        </w:rPr>
        <w:t xml:space="preserve"> המבקשים בניסיונם לפרש את סעיף 12.1 ל</w:t>
      </w:r>
      <w:r w:rsidR="00477DEE">
        <w:rPr>
          <w:rFonts w:ascii="Arial" w:eastAsia="Calibri" w:hAnsi="Arial"/>
          <w:rtl/>
        </w:rPr>
        <w:t>פס"ד קמא</w:t>
      </w:r>
      <w:r>
        <w:rPr>
          <w:rFonts w:ascii="Arial" w:eastAsia="Calibri" w:hAnsi="Arial"/>
          <w:rtl/>
        </w:rPr>
        <w:t xml:space="preserve"> שכביכול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קבע מראש כי שכר הטרחה יחולק שווה בשווה בין הצדדים.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הפנה </w:t>
      </w:r>
      <w:r w:rsidR="008A04B0">
        <w:rPr>
          <w:rFonts w:ascii="Arial" w:eastAsia="Calibri" w:hAnsi="Arial" w:hint="cs"/>
          <w:rtl/>
        </w:rPr>
        <w:t>ללשונו של</w:t>
      </w:r>
      <w:r>
        <w:rPr>
          <w:rFonts w:ascii="Arial" w:eastAsia="Calibri" w:hAnsi="Arial"/>
          <w:rtl/>
        </w:rPr>
        <w:t xml:space="preserve"> סעיף 12.1 ל</w:t>
      </w:r>
      <w:r w:rsidR="00477DEE">
        <w:rPr>
          <w:rFonts w:ascii="Arial" w:eastAsia="Calibri" w:hAnsi="Arial"/>
          <w:rtl/>
        </w:rPr>
        <w:t>פס"ד קמא</w:t>
      </w:r>
      <w:r>
        <w:rPr>
          <w:rFonts w:ascii="Arial" w:eastAsia="Calibri" w:hAnsi="Arial"/>
          <w:rtl/>
        </w:rPr>
        <w:t xml:space="preserve"> שבו כתוב במפורש </w:t>
      </w:r>
      <w:r>
        <w:rPr>
          <w:rFonts w:ascii="Arial" w:eastAsia="Calibri" w:hAnsi="Arial"/>
          <w:u w:val="single"/>
          <w:rtl/>
        </w:rPr>
        <w:t>שהתמורה נטו</w:t>
      </w:r>
      <w:r>
        <w:rPr>
          <w:rFonts w:ascii="Arial" w:eastAsia="Calibri" w:hAnsi="Arial"/>
          <w:rtl/>
        </w:rPr>
        <w:t xml:space="preserve"> (לאחר ניכוי ההוצאות ושכר הטרחה) </w:t>
      </w:r>
      <w:r>
        <w:rPr>
          <w:rFonts w:ascii="Arial" w:eastAsia="Calibri" w:hAnsi="Arial"/>
          <w:rtl/>
        </w:rPr>
        <w:lastRenderedPageBreak/>
        <w:t xml:space="preserve">היא זו שתחולק שווה בשווה, כאשר אין </w:t>
      </w:r>
      <w:proofErr w:type="spellStart"/>
      <w:r>
        <w:rPr>
          <w:rFonts w:ascii="Arial" w:eastAsia="Calibri" w:hAnsi="Arial"/>
          <w:rtl/>
        </w:rPr>
        <w:t>בפ</w:t>
      </w:r>
      <w:r w:rsidR="008A04B0">
        <w:rPr>
          <w:rFonts w:ascii="Arial" w:eastAsia="Calibri" w:hAnsi="Arial" w:hint="cs"/>
          <w:rtl/>
        </w:rPr>
        <w:t>י</w:t>
      </w:r>
      <w:r>
        <w:rPr>
          <w:rFonts w:ascii="Arial" w:eastAsia="Calibri" w:hAnsi="Arial"/>
          <w:rtl/>
        </w:rPr>
        <w:t>סקה</w:t>
      </w:r>
      <w:proofErr w:type="spellEnd"/>
      <w:r>
        <w:rPr>
          <w:rFonts w:ascii="Arial" w:eastAsia="Calibri" w:hAnsi="Arial"/>
          <w:rtl/>
        </w:rPr>
        <w:t xml:space="preserve"> זו שום הוראה ו/או הנחי</w:t>
      </w:r>
      <w:r w:rsidR="008A04B0">
        <w:rPr>
          <w:rFonts w:ascii="Arial" w:eastAsia="Calibri" w:hAnsi="Arial" w:hint="cs"/>
          <w:rtl/>
        </w:rPr>
        <w:t>י</w:t>
      </w:r>
      <w:r>
        <w:rPr>
          <w:rFonts w:ascii="Arial" w:eastAsia="Calibri" w:hAnsi="Arial"/>
          <w:rtl/>
        </w:rPr>
        <w:t>ה ל</w:t>
      </w:r>
      <w:r w:rsidR="00411601">
        <w:rPr>
          <w:rFonts w:ascii="Arial" w:eastAsia="Calibri" w:hAnsi="Arial"/>
          <w:rtl/>
        </w:rPr>
        <w:t>הוצל"פ</w:t>
      </w:r>
      <w:r>
        <w:rPr>
          <w:rFonts w:ascii="Arial" w:eastAsia="Calibri" w:hAnsi="Arial"/>
          <w:rtl/>
        </w:rPr>
        <w:t xml:space="preserve"> כיצד לחלק את שכר הטרחה, הואיל ודבר זה הינו בגדר סמכותו ושיקול דעתו של רשם ההוצל"פ בפניו התנהל הליך הכינוס. </w:t>
      </w:r>
    </w:p>
    <w:p w:rsidR="00A43A77" w:rsidRDefault="00A43A77" w:rsidP="00A43A77">
      <w:pPr>
        <w:spacing w:line="360" w:lineRule="auto"/>
        <w:jc w:val="both"/>
        <w:rPr>
          <w:rFonts w:ascii="Arial" w:eastAsia="Calibri" w:hAnsi="Arial"/>
        </w:rPr>
      </w:pPr>
    </w:p>
    <w:p w:rsidR="00A43A77" w:rsidRDefault="00A43A77" w:rsidP="008F7B5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>על פסק הדין בערעור הגישו המבקשים את בקשת רשות הערעור שבפניי – כאמור מדובר בערעור בגלגול שלישי</w:t>
      </w:r>
      <w:r w:rsidR="008F7B5E">
        <w:rPr>
          <w:rFonts w:ascii="Arial" w:eastAsia="Calibri" w:hAnsi="Arial" w:hint="cs"/>
          <w:rtl/>
        </w:rPr>
        <w:t>,</w:t>
      </w:r>
      <w:r>
        <w:rPr>
          <w:rFonts w:ascii="Arial" w:eastAsia="Calibri" w:hAnsi="Arial"/>
          <w:rtl/>
        </w:rPr>
        <w:t xml:space="preserve"> כאשר המבקשים לא טרחו כלל לנמק מדוע הינם סבורים כי מגיע להם להביא את עניינם בגלגול שלישי וכיצד ערעורם עומד במבחני </w:t>
      </w:r>
      <w:proofErr w:type="spellStart"/>
      <w:r w:rsidR="00EB49F3">
        <w:rPr>
          <w:rFonts w:ascii="Arial" w:eastAsia="Calibri" w:hAnsi="Arial" w:hint="cs"/>
          <w:rtl/>
        </w:rPr>
        <w:t>הלכ</w:t>
      </w:r>
      <w:proofErr w:type="spellEnd"/>
      <w:r w:rsidR="00EB49F3">
        <w:rPr>
          <w:rFonts w:ascii="Arial" w:eastAsia="Calibri" w:hAnsi="Arial"/>
          <w:rtl/>
        </w:rPr>
        <w:t>'</w:t>
      </w:r>
      <w:r w:rsidR="008F7B5E">
        <w:rPr>
          <w:rFonts w:ascii="Arial" w:eastAsia="Calibri" w:hAnsi="Arial" w:hint="cs"/>
          <w:rtl/>
        </w:rPr>
        <w:t xml:space="preserve"> </w:t>
      </w:r>
      <w:r>
        <w:rPr>
          <w:rFonts w:ascii="Arial" w:eastAsia="Calibri" w:hAnsi="Arial"/>
          <w:rtl/>
        </w:rPr>
        <w:t xml:space="preserve">"חניון חיפה". כאמור לעיל, אינני סבור כי ערעור זה עומד באמות המידה שנקבעו </w:t>
      </w:r>
      <w:proofErr w:type="spellStart"/>
      <w:r>
        <w:rPr>
          <w:rFonts w:ascii="Arial" w:eastAsia="Calibri" w:hAnsi="Arial"/>
          <w:rtl/>
        </w:rPr>
        <w:t>ב</w:t>
      </w:r>
      <w:r w:rsidR="00EB49F3">
        <w:rPr>
          <w:rFonts w:ascii="Arial" w:eastAsia="Calibri" w:hAnsi="Arial"/>
          <w:rtl/>
        </w:rPr>
        <w:t>הלכ</w:t>
      </w:r>
      <w:proofErr w:type="spellEnd"/>
      <w:r w:rsidR="00EB49F3">
        <w:rPr>
          <w:rFonts w:ascii="Arial" w:eastAsia="Calibri" w:hAnsi="Arial"/>
          <w:rtl/>
        </w:rPr>
        <w:t>'</w:t>
      </w:r>
      <w:r>
        <w:rPr>
          <w:rFonts w:ascii="Arial" w:eastAsia="Calibri" w:hAnsi="Arial"/>
          <w:rtl/>
        </w:rPr>
        <w:t xml:space="preserve"> "חניון חיפה", ברם למען לא יצא חסר, אתייחס גם לגופם של </w:t>
      </w:r>
      <w:r w:rsidR="00891E56">
        <w:rPr>
          <w:rFonts w:ascii="Arial" w:eastAsia="Calibri" w:hAnsi="Arial" w:hint="cs"/>
          <w:rtl/>
        </w:rPr>
        <w:t xml:space="preserve">עיקר </w:t>
      </w:r>
      <w:r>
        <w:rPr>
          <w:rFonts w:ascii="Arial" w:eastAsia="Calibri" w:hAnsi="Arial"/>
          <w:rtl/>
        </w:rPr>
        <w:t xml:space="preserve">טענות המבקשים, כאשר בצד כל טענה אבהיר מיד מדוע יש לדחותה.  </w:t>
      </w:r>
    </w:p>
    <w:p w:rsidR="00A43A77" w:rsidRDefault="00A43A77" w:rsidP="00A43A77">
      <w:pPr>
        <w:pStyle w:val="ad"/>
        <w:spacing w:line="360" w:lineRule="auto"/>
        <w:jc w:val="both"/>
        <w:rPr>
          <w:rFonts w:ascii="Arial" w:eastAsia="Calibri" w:hAnsi="Arial"/>
        </w:rPr>
      </w:pPr>
    </w:p>
    <w:p w:rsidR="00A43A77" w:rsidRDefault="00A43A77" w:rsidP="002A1624">
      <w:pPr>
        <w:ind w:left="360"/>
        <w:rPr>
          <w:rFonts w:ascii="Arial" w:eastAsia="Calibri" w:hAnsi="Arial"/>
          <w:rtl/>
        </w:rPr>
      </w:pPr>
      <w:r>
        <w:rPr>
          <w:rFonts w:ascii="Arial" w:eastAsia="Calibri" w:hAnsi="Arial"/>
          <w:b/>
          <w:bCs/>
          <w:u w:val="single"/>
          <w:rtl/>
        </w:rPr>
        <w:t>פסה"ד בערעור ניתן ללא קיום דיון ו</w:t>
      </w:r>
      <w:r w:rsidR="002A1624">
        <w:rPr>
          <w:rFonts w:ascii="Arial" w:eastAsia="Calibri" w:hAnsi="Arial" w:hint="cs"/>
          <w:b/>
          <w:bCs/>
          <w:u w:val="single"/>
          <w:rtl/>
        </w:rPr>
        <w:t>ל</w:t>
      </w:r>
      <w:r>
        <w:rPr>
          <w:rFonts w:ascii="Arial" w:eastAsia="Calibri" w:hAnsi="Arial"/>
          <w:b/>
          <w:bCs/>
          <w:u w:val="single"/>
          <w:rtl/>
        </w:rPr>
        <w:t>לא קבלת תשובת המשיבים</w:t>
      </w:r>
    </w:p>
    <w:p w:rsidR="00A43A77" w:rsidRDefault="00A43A77" w:rsidP="00A43A77">
      <w:pPr>
        <w:pStyle w:val="ad"/>
        <w:spacing w:line="360" w:lineRule="auto"/>
        <w:jc w:val="both"/>
        <w:rPr>
          <w:rFonts w:ascii="Arial" w:eastAsia="Calibri" w:hAnsi="Arial"/>
          <w:rtl/>
        </w:rPr>
      </w:pPr>
    </w:p>
    <w:p w:rsidR="00A43A77" w:rsidRDefault="00A43A77" w:rsidP="0081278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</w:rPr>
      </w:pPr>
      <w:proofErr w:type="spellStart"/>
      <w:r>
        <w:rPr>
          <w:rFonts w:ascii="Arial" w:eastAsia="Calibri" w:hAnsi="Arial"/>
          <w:rtl/>
        </w:rPr>
        <w:t>תמהני</w:t>
      </w:r>
      <w:proofErr w:type="spellEnd"/>
      <w:r>
        <w:rPr>
          <w:rFonts w:ascii="Arial" w:eastAsia="Calibri" w:hAnsi="Arial"/>
          <w:rtl/>
        </w:rPr>
        <w:t xml:space="preserve"> על השגה זו, </w:t>
      </w:r>
      <w:r w:rsidR="002A1624">
        <w:rPr>
          <w:rFonts w:ascii="Arial" w:eastAsia="Calibri" w:hAnsi="Arial" w:hint="cs"/>
          <w:rtl/>
        </w:rPr>
        <w:t xml:space="preserve">שנכתבה ע"י ב"כ המערערים </w:t>
      </w:r>
      <w:r w:rsidR="002A1624" w:rsidRPr="002A1624">
        <w:rPr>
          <w:rFonts w:ascii="Arial" w:eastAsia="Calibri" w:hAnsi="Arial" w:hint="cs"/>
          <w:b/>
          <w:bCs/>
          <w:rtl/>
        </w:rPr>
        <w:t>שלמיטב ידיעתי והיכרות</w:t>
      </w:r>
      <w:r w:rsidR="002A1624" w:rsidRPr="002A1624">
        <w:rPr>
          <w:rFonts w:ascii="Arial" w:eastAsia="Calibri" w:hAnsi="Arial" w:hint="eastAsia"/>
          <w:b/>
          <w:bCs/>
          <w:rtl/>
        </w:rPr>
        <w:t>י</w:t>
      </w:r>
      <w:r w:rsidR="002A1624" w:rsidRPr="002A1624">
        <w:rPr>
          <w:rFonts w:ascii="Arial" w:eastAsia="Calibri" w:hAnsi="Arial" w:hint="cs"/>
          <w:b/>
          <w:bCs/>
          <w:rtl/>
        </w:rPr>
        <w:t xml:space="preserve"> בקיא היטב </w:t>
      </w:r>
      <w:proofErr w:type="spellStart"/>
      <w:r w:rsidR="002A1624" w:rsidRPr="002A1624">
        <w:rPr>
          <w:rFonts w:ascii="Arial" w:eastAsia="Calibri" w:hAnsi="Arial" w:hint="cs"/>
          <w:b/>
          <w:bCs/>
          <w:rtl/>
        </w:rPr>
        <w:t>בתקסד"א</w:t>
      </w:r>
      <w:proofErr w:type="spellEnd"/>
      <w:r w:rsidR="002A1624">
        <w:rPr>
          <w:rFonts w:ascii="Arial" w:eastAsia="Calibri" w:hAnsi="Arial" w:hint="cs"/>
          <w:rtl/>
        </w:rPr>
        <w:t xml:space="preserve">: הלא </w:t>
      </w:r>
      <w:r>
        <w:rPr>
          <w:rFonts w:ascii="Arial" w:eastAsia="Calibri" w:hAnsi="Arial"/>
          <w:rtl/>
        </w:rPr>
        <w:t xml:space="preserve">בימ"ש קמא פעל </w:t>
      </w:r>
      <w:r w:rsidR="002A1624" w:rsidRPr="002A1624">
        <w:rPr>
          <w:rFonts w:ascii="Arial" w:eastAsia="Calibri" w:hAnsi="Arial" w:hint="cs"/>
          <w:b/>
          <w:bCs/>
          <w:rtl/>
        </w:rPr>
        <w:t>בדיוק</w:t>
      </w:r>
      <w:r w:rsidR="002A1624">
        <w:rPr>
          <w:rFonts w:ascii="Arial" w:eastAsia="Calibri" w:hAnsi="Arial" w:hint="cs"/>
          <w:rtl/>
        </w:rPr>
        <w:t xml:space="preserve"> </w:t>
      </w:r>
      <w:r>
        <w:rPr>
          <w:rFonts w:ascii="Arial" w:eastAsia="Calibri" w:hAnsi="Arial"/>
          <w:rtl/>
        </w:rPr>
        <w:t xml:space="preserve">בהתאם לסמכותו הנתונה לו </w:t>
      </w:r>
      <w:r>
        <w:rPr>
          <w:rFonts w:ascii="Arial" w:eastAsia="Calibri" w:hAnsi="Arial"/>
          <w:u w:val="single"/>
          <w:rtl/>
        </w:rPr>
        <w:t xml:space="preserve">בתקנה 138(א)(1) ו-(5) </w:t>
      </w:r>
      <w:proofErr w:type="spellStart"/>
      <w:r>
        <w:rPr>
          <w:rFonts w:ascii="Arial" w:eastAsia="Calibri" w:hAnsi="Arial"/>
          <w:u w:val="single"/>
          <w:rtl/>
        </w:rPr>
        <w:t>לתק</w:t>
      </w:r>
      <w:r w:rsidR="008F7B5E">
        <w:rPr>
          <w:rFonts w:ascii="Arial" w:eastAsia="Calibri" w:hAnsi="Arial" w:hint="cs"/>
          <w:u w:val="single"/>
          <w:rtl/>
        </w:rPr>
        <w:t>סד"א</w:t>
      </w:r>
      <w:proofErr w:type="spellEnd"/>
      <w:r w:rsidR="002A1624">
        <w:rPr>
          <w:rFonts w:ascii="Arial" w:eastAsia="Calibri" w:hAnsi="Arial" w:hint="cs"/>
          <w:rtl/>
        </w:rPr>
        <w:t xml:space="preserve">, </w:t>
      </w:r>
      <w:r>
        <w:rPr>
          <w:rFonts w:ascii="David" w:eastAsia="Calibri" w:hAnsi="David"/>
          <w:rtl/>
        </w:rPr>
        <w:t>אשר הוחלה גם על ערעורי משפחה מכוח</w:t>
      </w:r>
      <w:r>
        <w:rPr>
          <w:rFonts w:ascii="Garamond" w:eastAsia="Calibri" w:hAnsi="Garamond"/>
          <w:rtl/>
        </w:rPr>
        <w:t xml:space="preserve"> </w:t>
      </w:r>
      <w:r>
        <w:rPr>
          <w:rFonts w:ascii="David" w:eastAsia="Calibri" w:hAnsi="David"/>
          <w:rtl/>
        </w:rPr>
        <w:t xml:space="preserve">תקנה 44 לתקנות משפחה, </w:t>
      </w:r>
      <w:r>
        <w:rPr>
          <w:rFonts w:ascii="Arial" w:eastAsia="Calibri" w:hAnsi="Arial"/>
          <w:rtl/>
        </w:rPr>
        <w:t xml:space="preserve">הקובעת במפורש כי </w:t>
      </w:r>
      <w:r>
        <w:rPr>
          <w:rFonts w:ascii="FrankRuehl" w:eastAsia="Calibri" w:hAnsi="FrankRuehl" w:cs="FrankRuehl"/>
          <w:rtl/>
        </w:rPr>
        <w:t xml:space="preserve">"בית המשפט שלערעור רשאי לדחות את הערעור </w:t>
      </w:r>
      <w:r w:rsidRPr="008F7B5E">
        <w:rPr>
          <w:rFonts w:ascii="FrankRuehl" w:eastAsia="Calibri" w:hAnsi="FrankRuehl" w:cs="FrankRuehl"/>
          <w:u w:val="single"/>
          <w:rtl/>
        </w:rPr>
        <w:t>בלא צורך בתשובה</w:t>
      </w:r>
      <w:r>
        <w:rPr>
          <w:rFonts w:ascii="FrankRuehl" w:eastAsia="Calibri" w:hAnsi="FrankRuehl" w:cs="FrankRuehl"/>
          <w:rtl/>
        </w:rPr>
        <w:t xml:space="preserve"> אם סבר שאין לערעור סיכוי להתקבל"</w:t>
      </w:r>
      <w:r>
        <w:rPr>
          <w:rFonts w:ascii="Arial" w:eastAsia="Calibri" w:hAnsi="Arial"/>
          <w:rtl/>
        </w:rPr>
        <w:t xml:space="preserve"> </w:t>
      </w:r>
      <w:r w:rsidR="008F7B5E">
        <w:rPr>
          <w:rFonts w:ascii="Arial" w:eastAsia="Calibri" w:hAnsi="Arial" w:hint="cs"/>
          <w:sz w:val="20"/>
          <w:szCs w:val="20"/>
          <w:rtl/>
        </w:rPr>
        <w:t>[</w:t>
      </w:r>
      <w:proofErr w:type="spellStart"/>
      <w:r w:rsidR="008F7B5E" w:rsidRPr="008F7B5E">
        <w:rPr>
          <w:rFonts w:ascii="Arial" w:eastAsia="Calibri" w:hAnsi="Arial"/>
          <w:sz w:val="20"/>
          <w:szCs w:val="20"/>
          <w:rtl/>
        </w:rPr>
        <w:t>ס"ק</w:t>
      </w:r>
      <w:proofErr w:type="spellEnd"/>
      <w:r w:rsidR="008F7B5E" w:rsidRPr="008F7B5E">
        <w:rPr>
          <w:rFonts w:ascii="Arial" w:eastAsia="Calibri" w:hAnsi="Arial"/>
          <w:sz w:val="20"/>
          <w:szCs w:val="20"/>
          <w:rtl/>
        </w:rPr>
        <w:t xml:space="preserve"> </w:t>
      </w:r>
      <w:r w:rsidR="003B3CC8">
        <w:rPr>
          <w:rFonts w:ascii="Arial" w:eastAsia="Calibri" w:hAnsi="Arial" w:hint="cs"/>
          <w:sz w:val="20"/>
          <w:szCs w:val="20"/>
          <w:rtl/>
        </w:rPr>
        <w:t>(1)]</w:t>
      </w:r>
      <w:r w:rsidR="008F7B5E">
        <w:rPr>
          <w:rFonts w:ascii="Arial" w:eastAsia="Calibri" w:hAnsi="Arial"/>
          <w:rtl/>
        </w:rPr>
        <w:t xml:space="preserve"> </w:t>
      </w:r>
      <w:r>
        <w:rPr>
          <w:rFonts w:ascii="Arial" w:eastAsia="Calibri" w:hAnsi="Arial"/>
          <w:rtl/>
        </w:rPr>
        <w:t xml:space="preserve">וכן </w:t>
      </w:r>
      <w:r>
        <w:rPr>
          <w:rFonts w:ascii="FrankRuehl" w:eastAsia="Calibri" w:hAnsi="FrankRuehl" w:cs="FrankRuehl"/>
          <w:rtl/>
        </w:rPr>
        <w:t>"להכריע בערעור</w:t>
      </w:r>
      <w:r>
        <w:rPr>
          <w:rFonts w:ascii="Arial" w:eastAsia="Calibri" w:hAnsi="Arial"/>
          <w:rtl/>
        </w:rPr>
        <w:t xml:space="preserve"> </w:t>
      </w:r>
      <w:r w:rsidRPr="008F7B5E">
        <w:rPr>
          <w:rFonts w:ascii="FrankRuehl" w:eastAsia="Calibri" w:hAnsi="FrankRuehl" w:cs="FrankRuehl"/>
          <w:u w:val="single"/>
          <w:rtl/>
        </w:rPr>
        <w:t>על יסוד החומר בכתב שלפניו</w:t>
      </w:r>
      <w:r>
        <w:rPr>
          <w:rFonts w:ascii="FrankRuehl" w:eastAsia="Calibri" w:hAnsi="FrankRuehl" w:cs="FrankRuehl"/>
          <w:rtl/>
        </w:rPr>
        <w:t>"</w:t>
      </w:r>
      <w:r>
        <w:rPr>
          <w:rFonts w:ascii="Arial" w:eastAsia="Calibri" w:hAnsi="Arial"/>
          <w:rtl/>
        </w:rPr>
        <w:t xml:space="preserve"> ללא צורך בקיום דיון בע"פ </w:t>
      </w:r>
      <w:r w:rsidR="003B3CC8">
        <w:rPr>
          <w:rFonts w:ascii="Arial" w:eastAsia="Calibri" w:hAnsi="Arial" w:hint="cs"/>
          <w:sz w:val="20"/>
          <w:szCs w:val="20"/>
          <w:rtl/>
        </w:rPr>
        <w:t>[</w:t>
      </w:r>
      <w:proofErr w:type="spellStart"/>
      <w:r w:rsidR="003B3CC8" w:rsidRPr="008F7B5E">
        <w:rPr>
          <w:rFonts w:ascii="Arial" w:eastAsia="Calibri" w:hAnsi="Arial"/>
          <w:sz w:val="20"/>
          <w:szCs w:val="20"/>
          <w:rtl/>
        </w:rPr>
        <w:t>ס"ק</w:t>
      </w:r>
      <w:proofErr w:type="spellEnd"/>
      <w:r w:rsidR="003B3CC8" w:rsidRPr="008F7B5E">
        <w:rPr>
          <w:rFonts w:ascii="Arial" w:eastAsia="Calibri" w:hAnsi="Arial"/>
          <w:sz w:val="20"/>
          <w:szCs w:val="20"/>
          <w:rtl/>
        </w:rPr>
        <w:t xml:space="preserve"> </w:t>
      </w:r>
      <w:r w:rsidR="003B3CC8">
        <w:rPr>
          <w:rFonts w:ascii="Arial" w:eastAsia="Calibri" w:hAnsi="Arial" w:hint="cs"/>
          <w:sz w:val="20"/>
          <w:szCs w:val="20"/>
          <w:rtl/>
        </w:rPr>
        <w:t>5)]</w:t>
      </w:r>
      <w:r w:rsidR="003B3CC8">
        <w:rPr>
          <w:rFonts w:ascii="Arial" w:eastAsia="Calibri" w:hAnsi="Arial" w:hint="cs"/>
          <w:rtl/>
        </w:rPr>
        <w:t>.</w:t>
      </w:r>
      <w:r w:rsidR="003B3CC8">
        <w:rPr>
          <w:rFonts w:ascii="Arial" w:eastAsia="Calibri" w:hAnsi="Arial"/>
          <w:rtl/>
        </w:rPr>
        <w:t xml:space="preserve"> </w:t>
      </w:r>
      <w:r w:rsidR="003B3CC8">
        <w:rPr>
          <w:rFonts w:ascii="Arial" w:eastAsia="Calibri" w:hAnsi="Arial" w:hint="cs"/>
          <w:rtl/>
        </w:rPr>
        <w:t xml:space="preserve">אמנם </w:t>
      </w:r>
      <w:proofErr w:type="spellStart"/>
      <w:r>
        <w:rPr>
          <w:rFonts w:ascii="Arial" w:eastAsia="Calibri" w:hAnsi="Arial"/>
          <w:rtl/>
        </w:rPr>
        <w:t>ס"ק</w:t>
      </w:r>
      <w:proofErr w:type="spellEnd"/>
      <w:r>
        <w:rPr>
          <w:rFonts w:ascii="Arial" w:eastAsia="Calibri" w:hAnsi="Arial"/>
          <w:rtl/>
        </w:rPr>
        <w:t xml:space="preserve"> (6) שם</w:t>
      </w:r>
      <w:r w:rsidR="003B3CC8">
        <w:rPr>
          <w:rFonts w:ascii="Arial" w:eastAsia="Calibri" w:hAnsi="Arial" w:hint="cs"/>
          <w:rtl/>
        </w:rPr>
        <w:t xml:space="preserve"> מעניק לבימ"ש את </w:t>
      </w:r>
      <w:r w:rsidR="003B3CC8" w:rsidRPr="003B3CC8">
        <w:rPr>
          <w:rFonts w:ascii="Arial" w:eastAsia="Calibri" w:hAnsi="Arial" w:hint="cs"/>
          <w:rtl/>
        </w:rPr>
        <w:t>האפשרות</w:t>
      </w:r>
      <w:r w:rsidR="003B3CC8">
        <w:rPr>
          <w:rFonts w:ascii="Arial" w:eastAsia="Calibri" w:hAnsi="Arial" w:hint="cs"/>
          <w:rtl/>
        </w:rPr>
        <w:t xml:space="preserve"> לקיים דיון גם במקרה שהוא סובר שיש לדחות הערעור, ברם זו</w:t>
      </w:r>
      <w:r>
        <w:rPr>
          <w:rFonts w:ascii="Arial" w:eastAsia="Calibri" w:hAnsi="Arial"/>
          <w:rtl/>
        </w:rPr>
        <w:t xml:space="preserve"> </w:t>
      </w:r>
      <w:r w:rsidRPr="003B3CC8">
        <w:rPr>
          <w:rFonts w:ascii="Arial" w:eastAsia="Calibri" w:hAnsi="Arial"/>
          <w:u w:val="single"/>
          <w:rtl/>
        </w:rPr>
        <w:t>אפשרות</w:t>
      </w:r>
      <w:r>
        <w:rPr>
          <w:rFonts w:ascii="Arial" w:eastAsia="Calibri" w:hAnsi="Arial"/>
          <w:rtl/>
        </w:rPr>
        <w:t xml:space="preserve"> </w:t>
      </w:r>
      <w:r w:rsidR="003B3CC8">
        <w:rPr>
          <w:rFonts w:ascii="Arial" w:eastAsia="Calibri" w:hAnsi="Arial" w:hint="cs"/>
          <w:rtl/>
        </w:rPr>
        <w:t xml:space="preserve">שביהמ"ש רשאי להשתמש בה, לא חייב; </w:t>
      </w:r>
      <w:proofErr w:type="spellStart"/>
      <w:r w:rsidR="003B3CC8">
        <w:rPr>
          <w:rFonts w:ascii="Arial" w:eastAsia="Calibri" w:hAnsi="Arial" w:hint="cs"/>
          <w:rtl/>
        </w:rPr>
        <w:t>בנידונינו</w:t>
      </w:r>
      <w:proofErr w:type="spellEnd"/>
      <w:r w:rsidR="003B3CC8">
        <w:rPr>
          <w:rFonts w:ascii="Arial" w:eastAsia="Calibri" w:hAnsi="Arial" w:hint="cs"/>
          <w:rtl/>
        </w:rPr>
        <w:t xml:space="preserve">, </w:t>
      </w:r>
      <w:r>
        <w:rPr>
          <w:rFonts w:ascii="Arial" w:eastAsia="Calibri" w:hAnsi="Arial"/>
          <w:rtl/>
        </w:rPr>
        <w:t xml:space="preserve">משסבר בימ"ש שאין כל סיכוי לערעור </w:t>
      </w:r>
      <w:r w:rsidR="002A1624">
        <w:rPr>
          <w:rFonts w:ascii="Arial" w:eastAsia="Calibri" w:hAnsi="Arial" w:hint="cs"/>
          <w:rtl/>
        </w:rPr>
        <w:t xml:space="preserve">להתקבל </w:t>
      </w:r>
      <w:r>
        <w:rPr>
          <w:rFonts w:ascii="Arial" w:eastAsia="Calibri" w:hAnsi="Arial"/>
          <w:rtl/>
        </w:rPr>
        <w:t xml:space="preserve">(כפי שנימק היטב בפסק דינו), </w:t>
      </w:r>
      <w:r>
        <w:rPr>
          <w:rFonts w:ascii="Arial" w:eastAsia="Calibri" w:hAnsi="Arial"/>
          <w:b/>
          <w:bCs/>
          <w:rtl/>
        </w:rPr>
        <w:t>היה מוסמך לדחות הערעור ללא צורך בתשובת המשיבים</w:t>
      </w:r>
      <w:r>
        <w:rPr>
          <w:rFonts w:ascii="Arial" w:eastAsia="Calibri" w:hAnsi="Arial"/>
          <w:rtl/>
        </w:rPr>
        <w:t xml:space="preserve"> </w:t>
      </w:r>
      <w:r w:rsidRPr="002A1624">
        <w:rPr>
          <w:rFonts w:ascii="Arial" w:eastAsia="Calibri" w:hAnsi="Arial"/>
          <w:sz w:val="20"/>
          <w:szCs w:val="20"/>
          <w:rtl/>
        </w:rPr>
        <w:t>(</w:t>
      </w:r>
      <w:proofErr w:type="spellStart"/>
      <w:r w:rsidRPr="002A1624">
        <w:rPr>
          <w:rFonts w:ascii="Arial" w:eastAsia="Calibri" w:hAnsi="Arial"/>
          <w:sz w:val="20"/>
          <w:szCs w:val="20"/>
          <w:rtl/>
        </w:rPr>
        <w:t>ס"ק</w:t>
      </w:r>
      <w:proofErr w:type="spellEnd"/>
      <w:r w:rsidRPr="002A1624">
        <w:rPr>
          <w:rFonts w:ascii="Arial" w:eastAsia="Calibri" w:hAnsi="Arial"/>
          <w:sz w:val="20"/>
          <w:szCs w:val="20"/>
          <w:rtl/>
        </w:rPr>
        <w:t xml:space="preserve"> (1) שם)</w:t>
      </w:r>
      <w:r>
        <w:rPr>
          <w:rFonts w:ascii="Arial" w:eastAsia="Calibri" w:hAnsi="Arial"/>
          <w:rtl/>
        </w:rPr>
        <w:t xml:space="preserve"> </w:t>
      </w:r>
      <w:r>
        <w:rPr>
          <w:rFonts w:ascii="Arial" w:eastAsia="Calibri" w:hAnsi="Arial"/>
          <w:b/>
          <w:bCs/>
          <w:rtl/>
        </w:rPr>
        <w:t>וללא צורך בקיום דיון בע"פ</w:t>
      </w:r>
      <w:r>
        <w:rPr>
          <w:rFonts w:ascii="Arial" w:eastAsia="Calibri" w:hAnsi="Arial"/>
          <w:rtl/>
        </w:rPr>
        <w:t xml:space="preserve"> </w:t>
      </w:r>
      <w:r w:rsidRPr="002A1624">
        <w:rPr>
          <w:rFonts w:ascii="Arial" w:eastAsia="Calibri" w:hAnsi="Arial"/>
          <w:sz w:val="20"/>
          <w:szCs w:val="20"/>
          <w:rtl/>
        </w:rPr>
        <w:t>(</w:t>
      </w:r>
      <w:proofErr w:type="spellStart"/>
      <w:r w:rsidRPr="002A1624">
        <w:rPr>
          <w:rFonts w:ascii="Arial" w:eastAsia="Calibri" w:hAnsi="Arial"/>
          <w:sz w:val="20"/>
          <w:szCs w:val="20"/>
          <w:rtl/>
        </w:rPr>
        <w:t>ס"ק</w:t>
      </w:r>
      <w:proofErr w:type="spellEnd"/>
      <w:r w:rsidRPr="002A1624">
        <w:rPr>
          <w:rFonts w:ascii="Arial" w:eastAsia="Calibri" w:hAnsi="Arial"/>
          <w:sz w:val="20"/>
          <w:szCs w:val="20"/>
          <w:rtl/>
        </w:rPr>
        <w:t xml:space="preserve"> (5) שם)</w:t>
      </w:r>
      <w:r w:rsidR="003B3CC8">
        <w:rPr>
          <w:rFonts w:ascii="Arial" w:eastAsia="Calibri" w:hAnsi="Arial" w:hint="cs"/>
          <w:rtl/>
        </w:rPr>
        <w:t xml:space="preserve"> </w:t>
      </w:r>
      <w:r w:rsidR="003B3CC8">
        <w:rPr>
          <w:rFonts w:ascii="Arial" w:eastAsia="Calibri" w:hAnsi="Arial"/>
          <w:rtl/>
        </w:rPr>
        <w:t>–</w:t>
      </w:r>
      <w:r w:rsidR="003B3CC8">
        <w:rPr>
          <w:rFonts w:ascii="Arial" w:eastAsia="Calibri" w:hAnsi="Arial" w:hint="cs"/>
          <w:rtl/>
        </w:rPr>
        <w:t xml:space="preserve"> </w:t>
      </w:r>
      <w:r w:rsidR="003B3CC8" w:rsidRPr="002A1624">
        <w:rPr>
          <w:rFonts w:ascii="Arial" w:eastAsia="Calibri" w:hAnsi="Arial" w:hint="cs"/>
          <w:b/>
          <w:bCs/>
          <w:u w:val="single"/>
          <w:rtl/>
        </w:rPr>
        <w:t>בדיוק כפי שבימ"ש זה נוהג בהחלטה זו</w:t>
      </w:r>
      <w:r w:rsidR="003B3CC8">
        <w:rPr>
          <w:rFonts w:ascii="Arial" w:eastAsia="Calibri" w:hAnsi="Arial" w:hint="cs"/>
          <w:rtl/>
        </w:rPr>
        <w:t>: דחיית בקשת רשות הערעור, ללא צורך בתשובת המשיבים וללא צורך בקיום דיון בע"פ, מכוח סמכותו בתקנות האמורות לעיל</w:t>
      </w:r>
      <w:r>
        <w:rPr>
          <w:rFonts w:ascii="Arial" w:eastAsia="Calibri" w:hAnsi="Arial"/>
          <w:rtl/>
        </w:rPr>
        <w:t xml:space="preserve">; </w:t>
      </w:r>
      <w:proofErr w:type="spellStart"/>
      <w:r>
        <w:rPr>
          <w:rFonts w:ascii="Arial" w:eastAsia="Calibri" w:hAnsi="Arial"/>
          <w:rtl/>
        </w:rPr>
        <w:t>תמהני</w:t>
      </w:r>
      <w:proofErr w:type="spellEnd"/>
      <w:r>
        <w:rPr>
          <w:rFonts w:ascii="Arial" w:eastAsia="Calibri" w:hAnsi="Arial"/>
          <w:rtl/>
        </w:rPr>
        <w:t xml:space="preserve"> על ב"כ המערערים </w:t>
      </w:r>
      <w:r w:rsidR="003B3CC8">
        <w:rPr>
          <w:rFonts w:ascii="Arial" w:eastAsia="Calibri" w:hAnsi="Arial" w:hint="cs"/>
          <w:rtl/>
        </w:rPr>
        <w:t xml:space="preserve">הכיצד הינו </w:t>
      </w:r>
      <w:r>
        <w:rPr>
          <w:rFonts w:ascii="Arial" w:eastAsia="Calibri" w:hAnsi="Arial"/>
          <w:rtl/>
        </w:rPr>
        <w:t xml:space="preserve">מעלה טענה </w:t>
      </w:r>
      <w:proofErr w:type="spellStart"/>
      <w:r>
        <w:rPr>
          <w:rFonts w:ascii="Arial" w:eastAsia="Calibri" w:hAnsi="Arial"/>
          <w:rtl/>
        </w:rPr>
        <w:t>ערעורית</w:t>
      </w:r>
      <w:proofErr w:type="spellEnd"/>
      <w:r>
        <w:rPr>
          <w:rFonts w:ascii="Arial" w:eastAsia="Calibri" w:hAnsi="Arial"/>
          <w:rtl/>
        </w:rPr>
        <w:t xml:space="preserve"> שכזו</w:t>
      </w:r>
      <w:r w:rsidR="003B3CC8">
        <w:rPr>
          <w:rFonts w:ascii="Arial" w:eastAsia="Calibri" w:hAnsi="Arial" w:hint="cs"/>
          <w:rtl/>
        </w:rPr>
        <w:t>, ביודעו לבטח שהינה טענת סרק המנוגדת לדין</w:t>
      </w:r>
      <w:r>
        <w:rPr>
          <w:rFonts w:ascii="Arial" w:eastAsia="Calibri" w:hAnsi="Arial"/>
          <w:rtl/>
        </w:rPr>
        <w:t xml:space="preserve">! אין זאת אלא שכאשר אין מה לטעון, טוענים מן הגורן ומן היקב... &gt;&gt; האם בגין </w:t>
      </w:r>
      <w:r>
        <w:rPr>
          <w:rFonts w:ascii="Arial" w:eastAsia="Calibri" w:hAnsi="Arial"/>
          <w:u w:val="single"/>
          <w:rtl/>
        </w:rPr>
        <w:t>טענת סרק</w:t>
      </w:r>
      <w:r>
        <w:rPr>
          <w:rFonts w:ascii="Arial" w:eastAsia="Calibri" w:hAnsi="Arial"/>
          <w:rtl/>
        </w:rPr>
        <w:t xml:space="preserve"> זו, אשר נשמעת מפי </w:t>
      </w:r>
      <w:r>
        <w:rPr>
          <w:rFonts w:ascii="Arial" w:eastAsia="Calibri" w:hAnsi="Arial"/>
          <w:b/>
          <w:bCs/>
          <w:rtl/>
        </w:rPr>
        <w:t>עורך-דין הבקיא היטב בדין</w:t>
      </w:r>
      <w:r>
        <w:rPr>
          <w:rFonts w:ascii="Arial" w:eastAsia="Calibri" w:hAnsi="Arial"/>
          <w:rtl/>
        </w:rPr>
        <w:t>, יש מקום לחייב בהוצאות לטובת אוצר המדינה? נשקול זאת בהמשך...</w:t>
      </w:r>
    </w:p>
    <w:p w:rsidR="00493A11" w:rsidRDefault="00493A11" w:rsidP="00A43A77">
      <w:pPr>
        <w:spacing w:line="360" w:lineRule="auto"/>
        <w:ind w:left="360"/>
        <w:rPr>
          <w:rFonts w:ascii="Arial" w:eastAsia="Calibri" w:hAnsi="Arial"/>
          <w:b/>
          <w:bCs/>
          <w:u w:val="single"/>
          <w:rtl/>
        </w:rPr>
      </w:pPr>
    </w:p>
    <w:p w:rsidR="00A43A77" w:rsidRDefault="00A43A77" w:rsidP="00A43A77">
      <w:pPr>
        <w:spacing w:line="360" w:lineRule="auto"/>
        <w:ind w:left="360"/>
        <w:rPr>
          <w:rFonts w:ascii="Arial" w:eastAsia="Calibri" w:hAnsi="Arial"/>
          <w:rtl/>
        </w:rPr>
      </w:pPr>
      <w:r>
        <w:rPr>
          <w:rFonts w:ascii="Arial" w:eastAsia="Calibri" w:hAnsi="Arial"/>
          <w:b/>
          <w:bCs/>
          <w:u w:val="single"/>
          <w:rtl/>
        </w:rPr>
        <w:t>פסה"ד בערעור הינו "לקוני שאינו מנמק כהוא זה את הסיבות לקביעות המפורטות</w:t>
      </w:r>
      <w:r>
        <w:rPr>
          <w:rFonts w:ascii="Arial" w:eastAsia="Calibri" w:hAnsi="Arial"/>
          <w:b/>
          <w:bCs/>
          <w:rtl/>
        </w:rPr>
        <w:t>"</w:t>
      </w:r>
    </w:p>
    <w:p w:rsidR="00A43A77" w:rsidRDefault="00A43A77" w:rsidP="00A43A77">
      <w:pPr>
        <w:pStyle w:val="ad"/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 xml:space="preserve"> </w:t>
      </w:r>
    </w:p>
    <w:p w:rsidR="00ED1929" w:rsidRPr="00ED1929" w:rsidRDefault="0071062F" w:rsidP="004F1E31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eastAsia="Calibri" w:hAnsi="David"/>
          <w:rtl/>
        </w:rPr>
      </w:pPr>
      <w:r>
        <w:rPr>
          <w:rFonts w:ascii="Arial" w:eastAsia="Calibri" w:hAnsi="Arial" w:hint="cs"/>
          <w:rtl/>
        </w:rPr>
        <w:t xml:space="preserve">גם כאן </w:t>
      </w:r>
      <w:r w:rsidR="00A43A77">
        <w:rPr>
          <w:rFonts w:ascii="Arial" w:eastAsia="Calibri" w:hAnsi="Arial"/>
          <w:rtl/>
        </w:rPr>
        <w:t xml:space="preserve">מדובר </w:t>
      </w:r>
      <w:r w:rsidR="00A43A77">
        <w:rPr>
          <w:rFonts w:ascii="Arial" w:eastAsia="Calibri" w:hAnsi="Arial"/>
          <w:u w:val="single"/>
          <w:rtl/>
        </w:rPr>
        <w:t>בטענת סרק</w:t>
      </w:r>
      <w:r w:rsidR="00A43A77">
        <w:rPr>
          <w:rFonts w:ascii="Arial" w:eastAsia="Calibri" w:hAnsi="Arial"/>
          <w:rtl/>
        </w:rPr>
        <w:t xml:space="preserve">, שכן פסק הדין בערעור </w:t>
      </w:r>
      <w:r w:rsidR="00A43A77" w:rsidRPr="0071062F">
        <w:rPr>
          <w:rFonts w:ascii="Arial" w:eastAsia="Calibri" w:hAnsi="Arial"/>
          <w:u w:val="single"/>
          <w:rtl/>
        </w:rPr>
        <w:t>מנומק היטב</w:t>
      </w:r>
      <w:r w:rsidR="00A43A77">
        <w:rPr>
          <w:rFonts w:ascii="Arial" w:eastAsia="Calibri" w:hAnsi="Arial"/>
          <w:rtl/>
        </w:rPr>
        <w:t>. אין כל הנחיה ב</w:t>
      </w:r>
      <w:r>
        <w:rPr>
          <w:rFonts w:ascii="Arial" w:eastAsia="Calibri" w:hAnsi="Arial" w:hint="cs"/>
          <w:rtl/>
        </w:rPr>
        <w:t>דין ו/או ב</w:t>
      </w:r>
      <w:r w:rsidR="00A43A77">
        <w:rPr>
          <w:rFonts w:ascii="Arial" w:eastAsia="Calibri" w:hAnsi="Arial"/>
          <w:rtl/>
        </w:rPr>
        <w:t>פסיקה כי נימוקי פסק דין צריכים להיות "כאורך הגלות".</w:t>
      </w:r>
      <w:r w:rsidR="00ED1929">
        <w:rPr>
          <w:rFonts w:ascii="Arial" w:eastAsia="Calibri" w:hAnsi="Arial" w:hint="cs"/>
          <w:rtl/>
        </w:rPr>
        <w:t xml:space="preserve"> היפוכו של דבר כנאמר ב-</w:t>
      </w:r>
      <w:r w:rsidR="00ED1929" w:rsidRPr="00ED1929">
        <w:rPr>
          <w:rFonts w:ascii="David" w:hAnsi="David"/>
          <w:rtl/>
        </w:rPr>
        <w:t>רע"א 290/15 </w:t>
      </w:r>
      <w:r w:rsidR="00ED1929" w:rsidRPr="00ED1929">
        <w:rPr>
          <w:rFonts w:ascii="David" w:hAnsi="David"/>
          <w:b/>
          <w:bCs/>
          <w:rtl/>
        </w:rPr>
        <w:t>ברנד פור יו בע"מ נ' רמי לוי שיווק השקמה בע"מ</w:t>
      </w:r>
      <w:r w:rsidR="00ED1929" w:rsidRPr="00ED1929">
        <w:rPr>
          <w:rFonts w:ascii="David" w:hAnsi="David"/>
          <w:rtl/>
        </w:rPr>
        <w:t> (נבו 08.12.2015)‏</w:t>
      </w:r>
      <w:r w:rsidR="00ED1929" w:rsidRPr="00ED1929">
        <w:rPr>
          <w:rFonts w:ascii="David" w:hAnsi="David"/>
          <w:color w:val="000000"/>
          <w:rtl/>
        </w:rPr>
        <w:t>‏</w:t>
      </w:r>
      <w:r w:rsidR="00ED1929">
        <w:rPr>
          <w:rFonts w:ascii="David" w:eastAsia="Calibri" w:hAnsi="David" w:hint="cs"/>
          <w:rtl/>
        </w:rPr>
        <w:t>:</w:t>
      </w:r>
    </w:p>
    <w:p w:rsidR="0071062F" w:rsidRPr="00ED1929" w:rsidRDefault="0071062F" w:rsidP="00ED1929">
      <w:pPr>
        <w:pStyle w:val="ad"/>
        <w:ind w:left="1440"/>
        <w:jc w:val="both"/>
        <w:rPr>
          <w:rFonts w:ascii="Tahoma" w:hAnsi="Tahoma" w:cs="Tahoma"/>
          <w:color w:val="000000"/>
          <w:sz w:val="20"/>
          <w:szCs w:val="20"/>
          <w:rtl/>
        </w:rPr>
      </w:pPr>
      <w:r w:rsidRPr="00ED1929">
        <w:rPr>
          <w:rFonts w:ascii="Tahoma" w:hAnsi="Tahoma" w:cs="Tahoma"/>
          <w:color w:val="000000"/>
          <w:sz w:val="20"/>
          <w:szCs w:val="20"/>
          <w:rtl/>
        </w:rPr>
        <w:lastRenderedPageBreak/>
        <w:t xml:space="preserve">"בעניינים מסוימים תיחשב ההנמקה </w:t>
      </w:r>
      <w:r w:rsidRPr="00ED1929">
        <w:rPr>
          <w:rFonts w:ascii="Tahoma" w:hAnsi="Tahoma" w:cs="Tahoma"/>
          <w:color w:val="000000"/>
          <w:sz w:val="20"/>
          <w:szCs w:val="20"/>
          <w:u w:val="single"/>
          <w:rtl/>
        </w:rPr>
        <w:t>כראויה גם אם היא קצרה ותמציתית</w:t>
      </w:r>
      <w:r w:rsidRPr="00ED1929">
        <w:rPr>
          <w:rFonts w:ascii="Tahoma" w:hAnsi="Tahoma" w:cs="Tahoma"/>
          <w:color w:val="000000"/>
          <w:sz w:val="20"/>
          <w:szCs w:val="20"/>
          <w:rtl/>
        </w:rPr>
        <w:t xml:space="preserve"> (עניין ארזי, 749-748) וכדבריו של בית משפט זה: </w:t>
      </w:r>
      <w:r w:rsidR="00ED1929">
        <w:rPr>
          <w:rFonts w:ascii="Tahoma" w:hAnsi="Tahoma" w:cs="Tahoma" w:hint="cs"/>
          <w:color w:val="000000"/>
          <w:sz w:val="20"/>
          <w:szCs w:val="20"/>
          <w:rtl/>
        </w:rPr>
        <w:t>"</w:t>
      </w:r>
      <w:r w:rsidRPr="00ED1929">
        <w:rPr>
          <w:rFonts w:ascii="Tahoma" w:hAnsi="Tahoma" w:cs="Tahoma"/>
          <w:color w:val="000000"/>
          <w:sz w:val="20"/>
          <w:szCs w:val="20"/>
          <w:rtl/>
        </w:rPr>
        <w:t xml:space="preserve">יש ומתחייבת החלטה המנמקת את עצמה ארוכות, </w:t>
      </w:r>
      <w:r w:rsidRPr="00ED1929">
        <w:rPr>
          <w:rFonts w:ascii="Tahoma" w:hAnsi="Tahoma" w:cs="Tahoma"/>
          <w:color w:val="000000"/>
          <w:sz w:val="20"/>
          <w:szCs w:val="20"/>
          <w:u w:val="single"/>
          <w:rtl/>
        </w:rPr>
        <w:t>יש שנדרשת הנמקה קצרה</w:t>
      </w:r>
      <w:r w:rsidRPr="00ED1929">
        <w:rPr>
          <w:rFonts w:ascii="Tahoma" w:hAnsi="Tahoma" w:cs="Tahoma"/>
          <w:color w:val="000000"/>
          <w:sz w:val="20"/>
          <w:szCs w:val="20"/>
          <w:rtl/>
        </w:rPr>
        <w:t xml:space="preserve">, ויש שדי בקבלתה של בקשה או דחייתה, ללא כל הנמקה. וזאת כאשר החלטה מן הסוג האחרון כמו מתבקשת מעצמה מתוך מכלול החומר המונח בפני בית המשפט. </w:t>
      </w:r>
      <w:r w:rsidR="00ED1929">
        <w:rPr>
          <w:rFonts w:ascii="Tahoma" w:hAnsi="Tahoma" w:cs="Tahoma" w:hint="cs"/>
          <w:color w:val="000000"/>
          <w:sz w:val="20"/>
          <w:szCs w:val="20"/>
          <w:rtl/>
        </w:rPr>
        <w:t>כ</w:t>
      </w:r>
      <w:r w:rsidRPr="00ED1929">
        <w:rPr>
          <w:rFonts w:ascii="Tahoma" w:hAnsi="Tahoma" w:cs="Tahoma"/>
          <w:color w:val="000000"/>
          <w:sz w:val="20"/>
          <w:szCs w:val="20"/>
          <w:rtl/>
        </w:rPr>
        <w:t xml:space="preserve">ל מקרה ומקרה ונסיבותיו שלו (בג"ץ 7390/95 קרטה נ' המשנה לנשיא, כבוד השופט ש' לוין (לא פורסם) (להלן: עניין קרטה); ראו גם: עניין רודמן, שם; בג"ץ 1918/96 כהן נ' שופטת בית המשפט העליון ד' </w:t>
      </w:r>
      <w:proofErr w:type="spellStart"/>
      <w:r w:rsidRPr="00ED1929">
        <w:rPr>
          <w:rFonts w:ascii="Tahoma" w:hAnsi="Tahoma" w:cs="Tahoma"/>
          <w:color w:val="000000"/>
          <w:sz w:val="20"/>
          <w:szCs w:val="20"/>
          <w:rtl/>
        </w:rPr>
        <w:t>דורנר</w:t>
      </w:r>
      <w:proofErr w:type="spellEnd"/>
      <w:r w:rsidRPr="00ED1929">
        <w:rPr>
          <w:rFonts w:ascii="Tahoma" w:hAnsi="Tahoma" w:cs="Tahoma"/>
          <w:color w:val="000000"/>
          <w:sz w:val="20"/>
          <w:szCs w:val="20"/>
          <w:rtl/>
        </w:rPr>
        <w:t xml:space="preserve"> [פורסם בנבו] (8.9.1996); דנ"א 7709/01 </w:t>
      </w:r>
      <w:proofErr w:type="spellStart"/>
      <w:r w:rsidRPr="00ED1929">
        <w:rPr>
          <w:rFonts w:ascii="Tahoma" w:hAnsi="Tahoma" w:cs="Tahoma"/>
          <w:color w:val="000000"/>
          <w:sz w:val="20"/>
          <w:szCs w:val="20"/>
          <w:rtl/>
        </w:rPr>
        <w:t>נ.ס.נ.ר</w:t>
      </w:r>
      <w:proofErr w:type="spellEnd"/>
      <w:r w:rsidRPr="00ED1929">
        <w:rPr>
          <w:rFonts w:ascii="Tahoma" w:hAnsi="Tahoma" w:cs="Tahoma"/>
          <w:color w:val="000000"/>
          <w:sz w:val="20"/>
          <w:szCs w:val="20"/>
          <w:rtl/>
        </w:rPr>
        <w:t>. ייצור ושיווק בע"מ נ' מנורה חברה לביטוח בע"מ, [פורסם בנבו]"</w:t>
      </w:r>
      <w:r w:rsidR="00ED1929">
        <w:rPr>
          <w:rFonts w:ascii="Tahoma" w:hAnsi="Tahoma" w:cs="Tahoma" w:hint="cs"/>
          <w:color w:val="000000"/>
          <w:sz w:val="20"/>
          <w:szCs w:val="20"/>
          <w:rtl/>
        </w:rPr>
        <w:t xml:space="preserve"> "</w:t>
      </w:r>
    </w:p>
    <w:p w:rsidR="00ED1929" w:rsidRDefault="00ED1929" w:rsidP="0071062F">
      <w:pPr>
        <w:pStyle w:val="ad"/>
        <w:spacing w:line="360" w:lineRule="auto"/>
        <w:jc w:val="both"/>
        <w:rPr>
          <w:rFonts w:ascii="David" w:hAnsi="David"/>
          <w:rtl/>
        </w:rPr>
      </w:pPr>
    </w:p>
    <w:p w:rsidR="00A43A77" w:rsidRDefault="00A43A77" w:rsidP="00812781">
      <w:pPr>
        <w:pStyle w:val="ad"/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>נימוקי פס</w:t>
      </w:r>
      <w:r w:rsidR="00ED1929">
        <w:rPr>
          <w:rFonts w:ascii="Arial" w:eastAsia="Calibri" w:hAnsi="Arial" w:hint="cs"/>
          <w:rtl/>
        </w:rPr>
        <w:t>ה"ד בערעור</w:t>
      </w:r>
      <w:r>
        <w:rPr>
          <w:rFonts w:ascii="Arial" w:eastAsia="Calibri" w:hAnsi="Arial"/>
          <w:rtl/>
        </w:rPr>
        <w:t xml:space="preserve"> הינם מפורטים, </w:t>
      </w:r>
      <w:r w:rsidR="00812781">
        <w:rPr>
          <w:rFonts w:ascii="Arial" w:eastAsia="Calibri" w:hAnsi="Arial" w:hint="cs"/>
          <w:rtl/>
        </w:rPr>
        <w:t>ענייניים ו</w:t>
      </w:r>
      <w:r>
        <w:rPr>
          <w:rFonts w:ascii="Arial" w:eastAsia="Calibri" w:hAnsi="Arial"/>
          <w:rtl/>
        </w:rPr>
        <w:t xml:space="preserve">ממוקדים – </w:t>
      </w:r>
      <w:r>
        <w:rPr>
          <w:rFonts w:ascii="Arial" w:eastAsia="Calibri" w:hAnsi="Arial"/>
          <w:b/>
          <w:bCs/>
          <w:rtl/>
        </w:rPr>
        <w:t>וכך בדיוק צריך להיות</w:t>
      </w:r>
      <w:r>
        <w:rPr>
          <w:rFonts w:ascii="Arial" w:eastAsia="Calibri" w:hAnsi="Arial"/>
          <w:rtl/>
        </w:rPr>
        <w:t xml:space="preserve">. </w:t>
      </w:r>
    </w:p>
    <w:p w:rsidR="00A43A77" w:rsidRDefault="00A43A77" w:rsidP="00A43A77">
      <w:pPr>
        <w:pStyle w:val="ad"/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 xml:space="preserve">אין זאת אלא שכאשר אין מה לטעון, טוענים מן הגורן ומן היקב... &gt;&gt; האם בגין </w:t>
      </w:r>
      <w:r>
        <w:rPr>
          <w:rFonts w:ascii="Arial" w:eastAsia="Calibri" w:hAnsi="Arial"/>
          <w:u w:val="single"/>
          <w:rtl/>
        </w:rPr>
        <w:t>טענת סרק</w:t>
      </w:r>
      <w:r>
        <w:rPr>
          <w:rFonts w:ascii="Arial" w:eastAsia="Calibri" w:hAnsi="Arial"/>
          <w:rtl/>
        </w:rPr>
        <w:t xml:space="preserve"> זו יש מקום לחייב בהוצאות לטובת אוצר המדינה? נשקול זאת בהמשך...</w:t>
      </w:r>
    </w:p>
    <w:p w:rsidR="00A43A77" w:rsidRDefault="00A43A77" w:rsidP="00A43A77">
      <w:pPr>
        <w:pStyle w:val="ad"/>
        <w:spacing w:line="360" w:lineRule="auto"/>
        <w:jc w:val="both"/>
        <w:rPr>
          <w:rFonts w:ascii="Arial" w:eastAsia="Calibri" w:hAnsi="Arial"/>
        </w:rPr>
      </w:pPr>
    </w:p>
    <w:p w:rsidR="00A43A77" w:rsidRDefault="00A43A77" w:rsidP="00ED1929">
      <w:pPr>
        <w:ind w:left="360"/>
        <w:rPr>
          <w:rFonts w:ascii="Arial" w:eastAsia="Calibri" w:hAnsi="Arial"/>
        </w:rPr>
      </w:pPr>
      <w:r>
        <w:rPr>
          <w:rFonts w:ascii="Arial" w:eastAsia="Calibri" w:hAnsi="Arial"/>
          <w:b/>
          <w:bCs/>
          <w:u w:val="single"/>
          <w:rtl/>
        </w:rPr>
        <w:t>הגבלת שכ</w:t>
      </w:r>
      <w:r w:rsidR="00ED1929">
        <w:rPr>
          <w:rFonts w:ascii="Arial" w:eastAsia="Calibri" w:hAnsi="Arial" w:hint="cs"/>
          <w:b/>
          <w:bCs/>
          <w:u w:val="single"/>
          <w:rtl/>
        </w:rPr>
        <w:t xml:space="preserve">"ט </w:t>
      </w:r>
      <w:r>
        <w:rPr>
          <w:rFonts w:ascii="Arial" w:eastAsia="Calibri" w:hAnsi="Arial"/>
          <w:b/>
          <w:bCs/>
          <w:u w:val="single"/>
          <w:rtl/>
        </w:rPr>
        <w:t>הכונס ל-4% מכוח תקנות משפחה</w:t>
      </w:r>
    </w:p>
    <w:p w:rsidR="00A43A77" w:rsidRPr="00ED1929" w:rsidRDefault="00A43A77" w:rsidP="00A43A77">
      <w:pPr>
        <w:pStyle w:val="ad"/>
        <w:spacing w:line="360" w:lineRule="auto"/>
        <w:jc w:val="both"/>
        <w:rPr>
          <w:rFonts w:ascii="Arial" w:eastAsia="Calibri" w:hAnsi="Arial"/>
          <w:rtl/>
        </w:rPr>
      </w:pPr>
    </w:p>
    <w:p w:rsidR="00A43A77" w:rsidRDefault="00A43A77" w:rsidP="00ED192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 xml:space="preserve">צדק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קמא </w:t>
      </w:r>
      <w:proofErr w:type="spellStart"/>
      <w:r>
        <w:rPr>
          <w:rFonts w:ascii="Arial" w:eastAsia="Calibri" w:hAnsi="Arial"/>
          <w:rtl/>
        </w:rPr>
        <w:t>בקובעו</w:t>
      </w:r>
      <w:proofErr w:type="spellEnd"/>
      <w:r>
        <w:rPr>
          <w:rFonts w:ascii="Arial" w:eastAsia="Calibri" w:hAnsi="Arial"/>
          <w:rtl/>
        </w:rPr>
        <w:t xml:space="preserve"> כי הגבלת שכ</w:t>
      </w:r>
      <w:r w:rsidR="00ED1929">
        <w:rPr>
          <w:rFonts w:ascii="Arial" w:eastAsia="Calibri" w:hAnsi="Arial" w:hint="cs"/>
          <w:rtl/>
        </w:rPr>
        <w:t>"ט</w:t>
      </w:r>
      <w:r>
        <w:rPr>
          <w:rFonts w:ascii="Arial" w:eastAsia="Calibri" w:hAnsi="Arial"/>
          <w:rtl/>
        </w:rPr>
        <w:t xml:space="preserve"> כינוס נכסים ל-4% מכוח תקנות משפחה, </w:t>
      </w:r>
      <w:r w:rsidRPr="00ED1929">
        <w:rPr>
          <w:rFonts w:ascii="Arial" w:eastAsia="Calibri" w:hAnsi="Arial"/>
          <w:u w:val="single"/>
          <w:rtl/>
        </w:rPr>
        <w:t xml:space="preserve">חלה אך ורק על </w:t>
      </w:r>
      <w:r w:rsidR="009A3022" w:rsidRPr="00ED1929">
        <w:rPr>
          <w:rFonts w:ascii="Arial" w:eastAsia="Calibri" w:hAnsi="Arial"/>
          <w:u w:val="single"/>
          <w:rtl/>
        </w:rPr>
        <w:t>ביהמ"ש</w:t>
      </w:r>
      <w:r w:rsidRPr="00ED1929">
        <w:rPr>
          <w:rFonts w:ascii="Arial" w:eastAsia="Calibri" w:hAnsi="Arial"/>
          <w:u w:val="single"/>
          <w:rtl/>
        </w:rPr>
        <w:t xml:space="preserve"> לענייני משפחה</w:t>
      </w:r>
      <w:r>
        <w:rPr>
          <w:rFonts w:ascii="Arial" w:eastAsia="Calibri" w:hAnsi="Arial"/>
          <w:rtl/>
        </w:rPr>
        <w:t xml:space="preserve"> (וערכאת הערעור) כאשר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 הוא זה שממנה את כונס הנכסים, הוא זה שמפקח על הליך הכינוס, או אז חלה על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תקנה 36(ב) לתקנות משפחה הקובעת כי: "</w:t>
      </w:r>
      <w:r>
        <w:rPr>
          <w:rFonts w:ascii="Aharoni" w:eastAsia="Calibri" w:hAnsi="Aharoni" w:cs="Aharoni"/>
          <w:u w:val="single"/>
          <w:rtl/>
        </w:rPr>
        <w:t>בית המשפט</w:t>
      </w:r>
      <w:r>
        <w:rPr>
          <w:rFonts w:ascii="Aharoni" w:eastAsia="Calibri" w:hAnsi="Aharoni" w:cs="Aharoni"/>
          <w:rtl/>
        </w:rPr>
        <w:t xml:space="preserve"> יפסוק את שכרו של כונס הנכסים; השכר שיפסוק לא יעלה על 4 אחוזים מתקבולי מימוש בדרך של מכירה ..."</w:t>
      </w:r>
      <w:r>
        <w:rPr>
          <w:rFonts w:ascii="David" w:eastAsia="Calibri" w:hAnsi="David"/>
          <w:rtl/>
        </w:rPr>
        <w:t xml:space="preserve"> – היינו כאשר </w:t>
      </w:r>
      <w:r w:rsidR="009A3022">
        <w:rPr>
          <w:rFonts w:ascii="David" w:eastAsia="Calibri" w:hAnsi="David"/>
          <w:u w:val="single"/>
          <w:rtl/>
        </w:rPr>
        <w:t>ביהמ"ש</w:t>
      </w:r>
      <w:r>
        <w:rPr>
          <w:rFonts w:ascii="David" w:eastAsia="Calibri" w:hAnsi="David"/>
          <w:rtl/>
        </w:rPr>
        <w:t xml:space="preserve"> הוא זה שממנה את כונס הנכסים </w:t>
      </w:r>
      <w:r>
        <w:rPr>
          <w:rFonts w:ascii="David" w:eastAsia="Calibri" w:hAnsi="David"/>
          <w:u w:val="single"/>
          <w:rtl/>
        </w:rPr>
        <w:t>ופוסק</w:t>
      </w:r>
      <w:r>
        <w:rPr>
          <w:rFonts w:ascii="David" w:eastAsia="Calibri" w:hAnsi="David"/>
          <w:rtl/>
        </w:rPr>
        <w:t xml:space="preserve"> את שכרו, </w:t>
      </w:r>
      <w:r w:rsidR="009A3022">
        <w:rPr>
          <w:rFonts w:ascii="David" w:eastAsia="Calibri" w:hAnsi="David"/>
          <w:u w:val="single"/>
          <w:rtl/>
        </w:rPr>
        <w:t>ביהמ"ש</w:t>
      </w:r>
      <w:r>
        <w:rPr>
          <w:rFonts w:ascii="David" w:eastAsia="Calibri" w:hAnsi="David"/>
          <w:rtl/>
        </w:rPr>
        <w:t xml:space="preserve"> מוגבל </w:t>
      </w:r>
      <w:r>
        <w:rPr>
          <w:rFonts w:ascii="David" w:eastAsia="Calibri" w:hAnsi="David"/>
          <w:u w:val="single"/>
          <w:rtl/>
        </w:rPr>
        <w:t>לפסיקת</w:t>
      </w:r>
      <w:r>
        <w:rPr>
          <w:rFonts w:ascii="David" w:eastAsia="Calibri" w:hAnsi="David"/>
          <w:rtl/>
        </w:rPr>
        <w:t xml:space="preserve"> שכ</w:t>
      </w:r>
      <w:r w:rsidR="00ED1929">
        <w:rPr>
          <w:rFonts w:ascii="David" w:eastAsia="Calibri" w:hAnsi="David" w:hint="cs"/>
          <w:rtl/>
        </w:rPr>
        <w:t>"ט</w:t>
      </w:r>
      <w:r>
        <w:rPr>
          <w:rFonts w:ascii="David" w:eastAsia="Calibri" w:hAnsi="David"/>
          <w:rtl/>
        </w:rPr>
        <w:t xml:space="preserve"> </w:t>
      </w:r>
      <w:r w:rsidR="00ED1929">
        <w:rPr>
          <w:rFonts w:ascii="David" w:eastAsia="Calibri" w:hAnsi="David" w:hint="cs"/>
          <w:rtl/>
        </w:rPr>
        <w:t xml:space="preserve">עד </w:t>
      </w:r>
      <w:r>
        <w:rPr>
          <w:rFonts w:ascii="David" w:eastAsia="Calibri" w:hAnsi="David"/>
          <w:rtl/>
        </w:rPr>
        <w:t xml:space="preserve">4% ולא יותר. </w:t>
      </w:r>
      <w:r>
        <w:rPr>
          <w:rFonts w:ascii="Arial" w:eastAsia="Calibri" w:hAnsi="Arial"/>
          <w:rtl/>
        </w:rPr>
        <w:t xml:space="preserve">על הליכים המתנהלים </w:t>
      </w:r>
      <w:r w:rsidRPr="006B35BD">
        <w:rPr>
          <w:rFonts w:ascii="Arial" w:eastAsia="Calibri" w:hAnsi="Arial"/>
          <w:u w:val="single"/>
          <w:rtl/>
        </w:rPr>
        <w:t>בהוצל"פ</w:t>
      </w:r>
      <w:r w:rsidR="006B35BD" w:rsidRPr="006B35BD">
        <w:rPr>
          <w:rFonts w:ascii="Arial" w:eastAsia="Calibri" w:hAnsi="Arial" w:hint="cs"/>
          <w:u w:val="single"/>
          <w:rtl/>
        </w:rPr>
        <w:t xml:space="preserve"> לאחר שביהמ"ש סיים את מלאכתו</w:t>
      </w:r>
      <w:r>
        <w:rPr>
          <w:rFonts w:ascii="Arial" w:eastAsia="Calibri" w:hAnsi="Arial"/>
          <w:rtl/>
        </w:rPr>
        <w:t xml:space="preserve">, אף אם ההליכים </w:t>
      </w:r>
      <w:r w:rsidR="00ED1929">
        <w:rPr>
          <w:rFonts w:ascii="Arial" w:eastAsia="Calibri" w:hAnsi="Arial" w:hint="cs"/>
          <w:rtl/>
        </w:rPr>
        <w:t>ה</w:t>
      </w:r>
      <w:r>
        <w:rPr>
          <w:rFonts w:ascii="Arial" w:eastAsia="Calibri" w:hAnsi="Arial"/>
          <w:rtl/>
        </w:rPr>
        <w:t>ינם מכוח פס</w:t>
      </w:r>
      <w:r w:rsidR="00ED1929">
        <w:rPr>
          <w:rFonts w:ascii="Arial" w:eastAsia="Calibri" w:hAnsi="Arial" w:hint="cs"/>
          <w:rtl/>
        </w:rPr>
        <w:t>"ד</w:t>
      </w:r>
      <w:r>
        <w:rPr>
          <w:rFonts w:ascii="Arial" w:eastAsia="Calibri" w:hAnsi="Arial"/>
          <w:rtl/>
        </w:rPr>
        <w:t xml:space="preserve"> של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משפחה, לא חלות תקנות המשפחה אלא </w:t>
      </w:r>
      <w:r w:rsidRPr="00ED1929">
        <w:rPr>
          <w:rFonts w:ascii="Arial" w:eastAsia="Calibri" w:hAnsi="Arial"/>
          <w:u w:val="single"/>
          <w:rtl/>
        </w:rPr>
        <w:t>תקנות ההוצל"פ</w:t>
      </w:r>
      <w:r>
        <w:rPr>
          <w:rFonts w:ascii="Arial" w:eastAsia="Calibri" w:hAnsi="Arial"/>
          <w:rtl/>
        </w:rPr>
        <w:t xml:space="preserve">. </w:t>
      </w:r>
    </w:p>
    <w:p w:rsidR="00A43A77" w:rsidRDefault="00A43A77" w:rsidP="00ED1929">
      <w:pPr>
        <w:pStyle w:val="ad"/>
        <w:spacing w:line="360" w:lineRule="auto"/>
        <w:jc w:val="both"/>
        <w:rPr>
          <w:rFonts w:ascii="David" w:eastAsia="Calibri" w:hAnsi="David"/>
        </w:rPr>
      </w:pPr>
      <w:r>
        <w:rPr>
          <w:rFonts w:ascii="Arial" w:eastAsia="Calibri" w:hAnsi="Arial"/>
          <w:rtl/>
        </w:rPr>
        <w:t xml:space="preserve">ואכן אף סעיף 7 לחוק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</w:t>
      </w:r>
      <w:r w:rsidR="00ED1929">
        <w:rPr>
          <w:rFonts w:ascii="Arial" w:eastAsia="Calibri" w:hAnsi="Arial" w:hint="cs"/>
          <w:rtl/>
        </w:rPr>
        <w:t>,</w:t>
      </w:r>
      <w:r>
        <w:rPr>
          <w:rFonts w:ascii="Arial" w:eastAsia="Calibri" w:hAnsi="Arial"/>
          <w:rtl/>
        </w:rPr>
        <w:t xml:space="preserve"> הדן בהליכי ביצוע של תובענה לפירוק שיתוף, מבחין במפורש בין ניהול ההליך בפני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>, לבין ניהול ההליך ב</w:t>
      </w:r>
      <w:r w:rsidR="00ED1929">
        <w:rPr>
          <w:rFonts w:ascii="Arial" w:eastAsia="Calibri" w:hAnsi="Arial" w:hint="cs"/>
          <w:rtl/>
        </w:rPr>
        <w:t xml:space="preserve">פני </w:t>
      </w:r>
      <w:r>
        <w:rPr>
          <w:rFonts w:ascii="Arial" w:eastAsia="Calibri" w:hAnsi="Arial"/>
          <w:rtl/>
        </w:rPr>
        <w:t>ההוצל"פ, וקובע במפורש כי הליכי ביצוע אלו "</w:t>
      </w:r>
      <w:r>
        <w:rPr>
          <w:rFonts w:ascii="Aharoni" w:eastAsia="Calibri" w:hAnsi="Aharoni" w:cs="Aharoni"/>
          <w:rtl/>
        </w:rPr>
        <w:t xml:space="preserve">יבוצעו על פי החלטת </w:t>
      </w:r>
      <w:r w:rsidR="009A3022">
        <w:rPr>
          <w:rFonts w:ascii="Aharoni" w:eastAsia="Calibri" w:hAnsi="Aharoni" w:cs="Aharoni"/>
          <w:rtl/>
        </w:rPr>
        <w:t>ביהמ"ש</w:t>
      </w:r>
      <w:r>
        <w:rPr>
          <w:rFonts w:ascii="Aharoni" w:eastAsia="Calibri" w:hAnsi="Aharoni" w:cs="Aharoni"/>
          <w:rtl/>
        </w:rPr>
        <w:t xml:space="preserve"> לענייני משפחה ובפיקוחו, </w:t>
      </w:r>
      <w:r>
        <w:rPr>
          <w:rFonts w:ascii="Aharoni" w:eastAsia="Calibri" w:hAnsi="Aharoni" w:cs="Aharoni"/>
          <w:u w:val="single"/>
          <w:rtl/>
        </w:rPr>
        <w:t>זולת אם הורה בית המשפט על ביצועם באמצעות לשכת ההוצאה לפועל</w:t>
      </w:r>
      <w:r>
        <w:rPr>
          <w:rFonts w:ascii="Aharoni" w:eastAsia="Calibri" w:hAnsi="Aharoni" w:cs="Aharoni"/>
          <w:b/>
          <w:bCs/>
          <w:rtl/>
        </w:rPr>
        <w:t>"</w:t>
      </w:r>
      <w:r>
        <w:rPr>
          <w:rFonts w:ascii="David" w:eastAsia="Calibri" w:hAnsi="David"/>
          <w:rtl/>
        </w:rPr>
        <w:t xml:space="preserve"> – היינו לשון החוק </w:t>
      </w:r>
      <w:r w:rsidRPr="00DC11C4">
        <w:rPr>
          <w:rFonts w:ascii="David" w:eastAsia="Calibri" w:hAnsi="David"/>
          <w:u w:val="single"/>
          <w:rtl/>
        </w:rPr>
        <w:t>מבחינה</w:t>
      </w:r>
      <w:r>
        <w:rPr>
          <w:rFonts w:ascii="David" w:eastAsia="Calibri" w:hAnsi="David"/>
          <w:rtl/>
        </w:rPr>
        <w:t xml:space="preserve"> בין ביצוע ההליך </w:t>
      </w:r>
      <w:r>
        <w:rPr>
          <w:rFonts w:ascii="David" w:eastAsia="Calibri" w:hAnsi="David"/>
          <w:u w:val="single"/>
          <w:rtl/>
        </w:rPr>
        <w:t>ב</w:t>
      </w:r>
      <w:r w:rsidR="009A3022">
        <w:rPr>
          <w:rFonts w:ascii="David" w:eastAsia="Calibri" w:hAnsi="David"/>
          <w:u w:val="single"/>
          <w:rtl/>
        </w:rPr>
        <w:t>ביהמ"ש</w:t>
      </w:r>
      <w:r>
        <w:rPr>
          <w:rFonts w:ascii="David" w:eastAsia="Calibri" w:hAnsi="David"/>
          <w:rtl/>
        </w:rPr>
        <w:t xml:space="preserve"> לבין ביצועו</w:t>
      </w:r>
      <w:r>
        <w:rPr>
          <w:rFonts w:ascii="David" w:eastAsia="Calibri" w:hAnsi="David"/>
          <w:b/>
          <w:bCs/>
          <w:rtl/>
        </w:rPr>
        <w:t xml:space="preserve"> </w:t>
      </w:r>
      <w:r>
        <w:rPr>
          <w:rFonts w:ascii="David" w:eastAsia="Calibri" w:hAnsi="David"/>
          <w:u w:val="single"/>
          <w:rtl/>
        </w:rPr>
        <w:t>בהוצל"פ</w:t>
      </w:r>
      <w:r>
        <w:rPr>
          <w:rFonts w:ascii="David" w:eastAsia="Calibri" w:hAnsi="David"/>
          <w:rtl/>
        </w:rPr>
        <w:t xml:space="preserve"> – מדובר בשתי ערכאות שונות לחלוטין, כאשר "אין מלכות אחת נוגעת בחברתה" – </w:t>
      </w:r>
      <w:r>
        <w:rPr>
          <w:rFonts w:ascii="David" w:eastAsia="Calibri" w:hAnsi="David"/>
          <w:b/>
          <w:bCs/>
          <w:rtl/>
        </w:rPr>
        <w:t xml:space="preserve">כל אחת מערכאות מוסמכת </w:t>
      </w:r>
      <w:proofErr w:type="spellStart"/>
      <w:r>
        <w:rPr>
          <w:rFonts w:ascii="David" w:eastAsia="Calibri" w:hAnsi="David"/>
          <w:b/>
          <w:bCs/>
          <w:rtl/>
        </w:rPr>
        <w:t>ליתן</w:t>
      </w:r>
      <w:proofErr w:type="spellEnd"/>
      <w:r>
        <w:rPr>
          <w:rFonts w:ascii="David" w:eastAsia="Calibri" w:hAnsi="David"/>
          <w:b/>
          <w:bCs/>
          <w:rtl/>
        </w:rPr>
        <w:t xml:space="preserve"> החלטות </w:t>
      </w:r>
      <w:r>
        <w:rPr>
          <w:rFonts w:ascii="David" w:eastAsia="Calibri" w:hAnsi="David"/>
          <w:b/>
          <w:bCs/>
          <w:u w:val="single"/>
          <w:rtl/>
        </w:rPr>
        <w:t>בהתאם לדין החל עליה</w:t>
      </w:r>
      <w:r>
        <w:rPr>
          <w:rFonts w:ascii="David" w:eastAsia="Calibri" w:hAnsi="David"/>
          <w:b/>
          <w:bCs/>
          <w:rtl/>
        </w:rPr>
        <w:t xml:space="preserve">, ולא </w:t>
      </w:r>
      <w:r w:rsidR="00DC11C4">
        <w:rPr>
          <w:rFonts w:ascii="David" w:eastAsia="Calibri" w:hAnsi="David" w:hint="cs"/>
          <w:b/>
          <w:bCs/>
          <w:rtl/>
        </w:rPr>
        <w:t xml:space="preserve">בהתאם לדין החל </w:t>
      </w:r>
      <w:r>
        <w:rPr>
          <w:rFonts w:ascii="David" w:eastAsia="Calibri" w:hAnsi="David"/>
          <w:b/>
          <w:bCs/>
          <w:rtl/>
        </w:rPr>
        <w:t>על הערכאה השנייה</w:t>
      </w:r>
      <w:r>
        <w:rPr>
          <w:rFonts w:ascii="David" w:eastAsia="Calibri" w:hAnsi="David"/>
          <w:rtl/>
        </w:rPr>
        <w:t xml:space="preserve">. </w:t>
      </w:r>
    </w:p>
    <w:p w:rsidR="00A43A77" w:rsidRDefault="00DC11C4" w:rsidP="00A43A77">
      <w:pPr>
        <w:pStyle w:val="ad"/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>בניסיון לשכנע</w:t>
      </w:r>
      <w:r w:rsidR="00A43A77">
        <w:rPr>
          <w:rFonts w:ascii="Arial" w:eastAsia="Calibri" w:hAnsi="Arial"/>
          <w:rtl/>
        </w:rPr>
        <w:t xml:space="preserve"> </w:t>
      </w:r>
      <w:r w:rsidR="006B35BD">
        <w:rPr>
          <w:rFonts w:ascii="Arial" w:eastAsia="Calibri" w:hAnsi="Arial" w:hint="cs"/>
          <w:rtl/>
        </w:rPr>
        <w:t xml:space="preserve">אחרת </w:t>
      </w:r>
      <w:r w:rsidR="00A43A77">
        <w:rPr>
          <w:rFonts w:ascii="Arial" w:eastAsia="Calibri" w:hAnsi="Arial"/>
          <w:rtl/>
        </w:rPr>
        <w:t xml:space="preserve">בחרו המערערים לתת כותרת להליך הכינוס המתבצע בהוצל"פ </w:t>
      </w:r>
      <w:proofErr w:type="spellStart"/>
      <w:r>
        <w:rPr>
          <w:rFonts w:ascii="Arial" w:eastAsia="Calibri" w:hAnsi="Arial" w:hint="cs"/>
          <w:rtl/>
        </w:rPr>
        <w:t>מכח</w:t>
      </w:r>
      <w:proofErr w:type="spellEnd"/>
      <w:r>
        <w:rPr>
          <w:rFonts w:ascii="Arial" w:eastAsia="Calibri" w:hAnsi="Arial" w:hint="cs"/>
          <w:rtl/>
        </w:rPr>
        <w:t xml:space="preserve"> פס"ד של בימ"ש לענייני משפחה </w:t>
      </w:r>
      <w:r w:rsidR="00A43A77">
        <w:rPr>
          <w:rFonts w:ascii="Arial" w:eastAsia="Calibri" w:hAnsi="Arial"/>
          <w:rtl/>
        </w:rPr>
        <w:t>– "כינוס משפחה", ברם לא מצאתי קיומו של כינוי שכזה, לא בחוק ולא בפסיקה ...</w:t>
      </w:r>
    </w:p>
    <w:p w:rsidR="00A43A77" w:rsidRDefault="00A43A77" w:rsidP="003C5FF6">
      <w:pPr>
        <w:pStyle w:val="ad"/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 xml:space="preserve">טענת המבקשים כי "לא יכולה להיות ואסור שתהא דואליות נורמטיבית בהקשר זה" אין לה על מה שתסמוך. כאמור כל ערכאה דנה </w:t>
      </w:r>
      <w:r>
        <w:rPr>
          <w:rFonts w:ascii="Arial" w:eastAsia="Calibri" w:hAnsi="Arial"/>
          <w:u w:val="single"/>
          <w:rtl/>
        </w:rPr>
        <w:t>בהתאם לחוק החל עליה</w:t>
      </w:r>
      <w:r>
        <w:rPr>
          <w:rFonts w:ascii="Arial" w:eastAsia="Calibri" w:hAnsi="Arial"/>
          <w:rtl/>
        </w:rPr>
        <w:t>, וככל ש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 בוחר להורות שהליכי הביצוע יבוצעו </w:t>
      </w:r>
      <w:r>
        <w:rPr>
          <w:rFonts w:ascii="Arial" w:eastAsia="Calibri" w:hAnsi="Arial"/>
          <w:u w:val="single"/>
          <w:rtl/>
        </w:rPr>
        <w:t>במסגרת ההוצל"פ ובפיקוחו</w:t>
      </w:r>
      <w:r>
        <w:rPr>
          <w:rFonts w:ascii="Arial" w:eastAsia="Calibri" w:hAnsi="Arial"/>
          <w:rtl/>
        </w:rPr>
        <w:t xml:space="preserve">, משמעות הדבר כי </w:t>
      </w:r>
      <w:r>
        <w:rPr>
          <w:rFonts w:ascii="Arial" w:eastAsia="Calibri" w:hAnsi="Arial"/>
          <w:b/>
          <w:bCs/>
          <w:rtl/>
        </w:rPr>
        <w:t>ההליך ב</w:t>
      </w:r>
      <w:r w:rsidR="009A3022">
        <w:rPr>
          <w:rFonts w:ascii="Arial" w:eastAsia="Calibri" w:hAnsi="Arial"/>
          <w:b/>
          <w:bCs/>
          <w:rtl/>
        </w:rPr>
        <w:t>ביהמ"ש</w:t>
      </w:r>
      <w:r>
        <w:rPr>
          <w:rFonts w:ascii="Arial" w:eastAsia="Calibri" w:hAnsi="Arial"/>
          <w:b/>
          <w:bCs/>
          <w:rtl/>
        </w:rPr>
        <w:t xml:space="preserve"> </w:t>
      </w:r>
      <w:r w:rsidRPr="00DC11C4">
        <w:rPr>
          <w:rFonts w:ascii="Arial" w:eastAsia="Calibri" w:hAnsi="Arial"/>
          <w:b/>
          <w:bCs/>
          <w:u w:val="single"/>
          <w:rtl/>
        </w:rPr>
        <w:t>הסתיים</w:t>
      </w:r>
      <w:r>
        <w:rPr>
          <w:rFonts w:ascii="Arial" w:eastAsia="Calibri" w:hAnsi="Arial"/>
          <w:rtl/>
        </w:rPr>
        <w:t xml:space="preserve">, ומעתה ואילך הוצאתו לפועל תהיה </w:t>
      </w:r>
      <w:r>
        <w:rPr>
          <w:rFonts w:ascii="Arial" w:eastAsia="Calibri" w:hAnsi="Arial"/>
          <w:u w:val="single"/>
          <w:rtl/>
        </w:rPr>
        <w:t xml:space="preserve">במסגרת </w:t>
      </w:r>
      <w:r>
        <w:rPr>
          <w:rFonts w:ascii="Arial" w:eastAsia="Calibri" w:hAnsi="Arial"/>
          <w:u w:val="single"/>
          <w:rtl/>
        </w:rPr>
        <w:lastRenderedPageBreak/>
        <w:t xml:space="preserve">ההוצל"פ ותחת הדין החל </w:t>
      </w:r>
      <w:r w:rsidR="003C5FF6">
        <w:rPr>
          <w:rFonts w:ascii="Arial" w:eastAsia="Calibri" w:hAnsi="Arial" w:hint="cs"/>
          <w:u w:val="single"/>
          <w:rtl/>
        </w:rPr>
        <w:t>שם</w:t>
      </w:r>
      <w:r>
        <w:rPr>
          <w:rFonts w:ascii="Arial" w:eastAsia="Calibri" w:hAnsi="Arial"/>
          <w:rtl/>
        </w:rPr>
        <w:t>. טול למשל דוגמ</w:t>
      </w:r>
      <w:r w:rsidR="00DC11C4">
        <w:rPr>
          <w:rFonts w:ascii="Arial" w:eastAsia="Calibri" w:hAnsi="Arial" w:hint="cs"/>
          <w:rtl/>
        </w:rPr>
        <w:t>ה</w:t>
      </w:r>
      <w:r>
        <w:rPr>
          <w:rFonts w:ascii="Arial" w:eastAsia="Calibri" w:hAnsi="Arial"/>
          <w:rtl/>
        </w:rPr>
        <w:t xml:space="preserve"> שבה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פוסק במסגרת תובענה לאיזון משאבים כי צד א' חייב לשלם ל</w:t>
      </w:r>
      <w:r w:rsidR="00DC11C4">
        <w:rPr>
          <w:rFonts w:ascii="Arial" w:eastAsia="Calibri" w:hAnsi="Arial" w:hint="cs"/>
          <w:rtl/>
        </w:rPr>
        <w:t>צד ב'</w:t>
      </w:r>
      <w:r>
        <w:rPr>
          <w:rFonts w:ascii="Arial" w:eastAsia="Calibri" w:hAnsi="Arial"/>
          <w:rtl/>
        </w:rPr>
        <w:t xml:space="preserve"> לאיזון זכויותיו סך של 100,000 ₪, צד א' מסרב לשלם וצד ב' נאלץ לנקוט הליכי הוצל"פ במסגרתם מתבצע כינוס נכסים לנכסיו של צד א' על מנת לגבות מהם את הסכום שנפסק – האם יעלה על הדעת שערכאת ההוצל"פ מוגבלת בשכ</w:t>
      </w:r>
      <w:r w:rsidR="00DC11C4">
        <w:rPr>
          <w:rFonts w:ascii="Arial" w:eastAsia="Calibri" w:hAnsi="Arial" w:hint="cs"/>
          <w:rtl/>
        </w:rPr>
        <w:t>"ט</w:t>
      </w:r>
      <w:r>
        <w:rPr>
          <w:rFonts w:ascii="Arial" w:eastAsia="Calibri" w:hAnsi="Arial"/>
          <w:rtl/>
        </w:rPr>
        <w:t xml:space="preserve"> הכונס רק כי פסק הדין נשוא הליך </w:t>
      </w:r>
      <w:r w:rsidR="003C5FF6">
        <w:rPr>
          <w:rFonts w:ascii="Arial" w:eastAsia="Calibri" w:hAnsi="Arial" w:hint="cs"/>
          <w:rtl/>
        </w:rPr>
        <w:t>ה</w:t>
      </w:r>
      <w:r>
        <w:rPr>
          <w:rFonts w:ascii="Arial" w:eastAsia="Calibri" w:hAnsi="Arial"/>
          <w:rtl/>
        </w:rPr>
        <w:t xml:space="preserve">הוצל"פ </w:t>
      </w:r>
      <w:r w:rsidR="00DC11C4">
        <w:rPr>
          <w:rFonts w:ascii="Arial" w:eastAsia="Calibri" w:hAnsi="Arial" w:hint="cs"/>
          <w:rtl/>
        </w:rPr>
        <w:t>הינו פס"ד</w:t>
      </w:r>
      <w:r>
        <w:rPr>
          <w:rFonts w:ascii="Arial" w:eastAsia="Calibri" w:hAnsi="Arial"/>
          <w:rtl/>
        </w:rPr>
        <w:t xml:space="preserve"> של </w:t>
      </w:r>
      <w:r w:rsidR="009A3022">
        <w:rPr>
          <w:rFonts w:ascii="Arial" w:eastAsia="Calibri" w:hAnsi="Arial"/>
          <w:rtl/>
        </w:rPr>
        <w:t>ביהמ"ש</w:t>
      </w:r>
      <w:r>
        <w:rPr>
          <w:rFonts w:ascii="Arial" w:eastAsia="Calibri" w:hAnsi="Arial"/>
          <w:rtl/>
        </w:rPr>
        <w:t xml:space="preserve"> לענייני משפחה?? לא שמענו מעולם דבר שכזה.</w:t>
      </w:r>
      <w:r w:rsidR="003C5FF6">
        <w:rPr>
          <w:rFonts w:ascii="Arial" w:eastAsia="Calibri" w:hAnsi="Arial" w:hint="cs"/>
          <w:rtl/>
        </w:rPr>
        <w:t>..</w:t>
      </w:r>
      <w:r>
        <w:rPr>
          <w:rFonts w:ascii="Arial" w:eastAsia="Calibri" w:hAnsi="Arial"/>
          <w:rtl/>
        </w:rPr>
        <w:t xml:space="preserve"> </w:t>
      </w:r>
    </w:p>
    <w:p w:rsidR="00A43A77" w:rsidRDefault="00A43A77" w:rsidP="00DC11C4">
      <w:pPr>
        <w:pStyle w:val="ad"/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/>
          <w:rtl/>
        </w:rPr>
        <w:t>ואכן ב"כ המערערים לא הפנה ולו לפסק דין אחד אשר מכוחו ניתן ללמוד כי כאשר כינוס נכסים של פס</w:t>
      </w:r>
      <w:r w:rsidR="00DC11C4">
        <w:rPr>
          <w:rFonts w:ascii="Arial" w:eastAsia="Calibri" w:hAnsi="Arial" w:hint="cs"/>
          <w:rtl/>
        </w:rPr>
        <w:t>"ד</w:t>
      </w:r>
      <w:r>
        <w:rPr>
          <w:rFonts w:ascii="Arial" w:eastAsia="Calibri" w:hAnsi="Arial"/>
          <w:rtl/>
        </w:rPr>
        <w:t xml:space="preserve"> משפחה מתבצע בהוצל"פ</w:t>
      </w:r>
      <w:r w:rsidR="003C5FF6">
        <w:rPr>
          <w:rFonts w:ascii="Arial" w:eastAsia="Calibri" w:hAnsi="Arial" w:hint="cs"/>
          <w:rtl/>
        </w:rPr>
        <w:t xml:space="preserve"> לאחר שביהמ"ש סיים מלאכתו</w:t>
      </w:r>
      <w:r>
        <w:rPr>
          <w:rFonts w:ascii="Arial" w:eastAsia="Calibri" w:hAnsi="Arial"/>
          <w:rtl/>
        </w:rPr>
        <w:t xml:space="preserve">, מוגבל ההוצל"פ על פי תקנות המשפחה. פסקי הדין אליהם הפנה ב"כ המערערים, אינם רלבנטיים כלל שכן הם עוסקים בדיוק במה שציינתי לעיל: </w:t>
      </w:r>
      <w:r w:rsidR="009A3022">
        <w:rPr>
          <w:rFonts w:ascii="Arial" w:eastAsia="Calibri" w:hAnsi="Arial"/>
          <w:u w:val="single"/>
          <w:rtl/>
        </w:rPr>
        <w:t>ביהמ"ש</w:t>
      </w:r>
      <w:r>
        <w:rPr>
          <w:rFonts w:ascii="Arial" w:eastAsia="Calibri" w:hAnsi="Arial"/>
          <w:rtl/>
        </w:rPr>
        <w:t xml:space="preserve"> בפסקי הדין הנ"ל הוא זה שמינה את כונס הנכסים והוא זה שפסק את שכר </w:t>
      </w:r>
      <w:proofErr w:type="spellStart"/>
      <w:r w:rsidR="00DC11C4">
        <w:rPr>
          <w:rFonts w:ascii="Arial" w:eastAsia="Calibri" w:hAnsi="Arial" w:hint="cs"/>
          <w:rtl/>
        </w:rPr>
        <w:t>טירחתו</w:t>
      </w:r>
      <w:proofErr w:type="spellEnd"/>
      <w:r w:rsidR="00DC11C4">
        <w:rPr>
          <w:rFonts w:ascii="Arial" w:eastAsia="Calibri" w:hAnsi="Arial" w:hint="cs"/>
          <w:rtl/>
        </w:rPr>
        <w:t xml:space="preserve"> </w:t>
      </w:r>
      <w:r>
        <w:rPr>
          <w:rFonts w:ascii="Arial" w:eastAsia="Calibri" w:hAnsi="Arial"/>
          <w:rtl/>
        </w:rPr>
        <w:t xml:space="preserve">וממילא הוא מוגבל מכוח תקנות משפחה. </w:t>
      </w:r>
    </w:p>
    <w:p w:rsidR="00557021" w:rsidRDefault="00DC11C4" w:rsidP="003C5FF6">
      <w:pPr>
        <w:pStyle w:val="ad"/>
        <w:spacing w:line="360" w:lineRule="auto"/>
        <w:jc w:val="both"/>
        <w:rPr>
          <w:rFonts w:ascii="David" w:eastAsia="Calibri" w:hAnsi="David"/>
          <w:rtl/>
        </w:rPr>
      </w:pPr>
      <w:r>
        <w:rPr>
          <w:rFonts w:ascii="Arial" w:eastAsia="Calibri" w:hAnsi="Arial"/>
          <w:rtl/>
        </w:rPr>
        <w:t xml:space="preserve">אף </w:t>
      </w:r>
      <w:proofErr w:type="spellStart"/>
      <w:r>
        <w:rPr>
          <w:rFonts w:ascii="Arial" w:eastAsia="Calibri" w:hAnsi="Arial"/>
          <w:rtl/>
        </w:rPr>
        <w:t>רמ"ש</w:t>
      </w:r>
      <w:proofErr w:type="spellEnd"/>
      <w:r>
        <w:rPr>
          <w:rFonts w:ascii="Arial" w:eastAsia="Calibri" w:hAnsi="Arial"/>
          <w:rtl/>
        </w:rPr>
        <w:t xml:space="preserve"> 45431-12-17 אליו </w:t>
      </w:r>
      <w:r w:rsidR="00A43A77">
        <w:rPr>
          <w:rFonts w:ascii="Arial" w:eastAsia="Calibri" w:hAnsi="Arial"/>
          <w:rtl/>
        </w:rPr>
        <w:t>הפנה ב"כ המערערים בסעיף 25 להודעת הערעור</w:t>
      </w:r>
      <w:r>
        <w:rPr>
          <w:rFonts w:ascii="Arial" w:eastAsia="Calibri" w:hAnsi="Arial" w:hint="cs"/>
          <w:rtl/>
        </w:rPr>
        <w:t>-</w:t>
      </w:r>
      <w:r w:rsidR="00A43A77">
        <w:rPr>
          <w:rFonts w:ascii="Arial" w:eastAsia="Calibri" w:hAnsi="Arial"/>
          <w:rtl/>
        </w:rPr>
        <w:t xml:space="preserve"> אין בו דבר וחצי דבר, שכן שם </w:t>
      </w:r>
      <w:r w:rsidR="00A43A77">
        <w:rPr>
          <w:rFonts w:ascii="Arial" w:eastAsia="Calibri" w:hAnsi="Arial"/>
          <w:u w:val="single"/>
          <w:rtl/>
        </w:rPr>
        <w:t>בימ"ש קמא הוא זה שמינה את כונס הנכסים</w:t>
      </w:r>
      <w:r w:rsidR="00A43A77">
        <w:rPr>
          <w:rFonts w:ascii="Arial" w:eastAsia="Calibri" w:hAnsi="Arial"/>
          <w:rtl/>
        </w:rPr>
        <w:t xml:space="preserve">, והגם שהורה שהפיקוח ייעשה ע"י ההוצל"פ, </w:t>
      </w:r>
      <w:r w:rsidR="00A43A77">
        <w:rPr>
          <w:rFonts w:ascii="Arial" w:eastAsia="Calibri" w:hAnsi="Arial"/>
          <w:u w:val="single"/>
          <w:rtl/>
        </w:rPr>
        <w:t>החליט עפ"י סמכותו</w:t>
      </w:r>
      <w:r w:rsidR="00A43A77">
        <w:rPr>
          <w:rFonts w:ascii="Arial" w:eastAsia="Calibri" w:hAnsi="Arial"/>
          <w:rtl/>
        </w:rPr>
        <w:t xml:space="preserve">, </w:t>
      </w:r>
      <w:proofErr w:type="spellStart"/>
      <w:r w:rsidR="00A43A77">
        <w:rPr>
          <w:rFonts w:ascii="Arial" w:eastAsia="Calibri" w:hAnsi="Arial"/>
          <w:rtl/>
        </w:rPr>
        <w:t>ששכה"ט</w:t>
      </w:r>
      <w:proofErr w:type="spellEnd"/>
      <w:r w:rsidR="00A43A77">
        <w:rPr>
          <w:rFonts w:ascii="Arial" w:eastAsia="Calibri" w:hAnsi="Arial"/>
          <w:rtl/>
        </w:rPr>
        <w:t xml:space="preserve"> </w:t>
      </w:r>
      <w:r w:rsidR="00A43A77">
        <w:rPr>
          <w:rFonts w:ascii="Arial" w:eastAsia="Calibri" w:hAnsi="Arial"/>
          <w:u w:val="single"/>
          <w:rtl/>
        </w:rPr>
        <w:t>של הכונס שהוא מינה</w:t>
      </w:r>
      <w:r w:rsidR="00A43A77">
        <w:rPr>
          <w:rFonts w:ascii="Arial" w:eastAsia="Calibri" w:hAnsi="Arial"/>
          <w:rtl/>
        </w:rPr>
        <w:t xml:space="preserve"> לא יעלה על 4% - באותה מידה יכול היה ו</w:t>
      </w:r>
      <w:r>
        <w:rPr>
          <w:rFonts w:ascii="Arial" w:eastAsia="Calibri" w:hAnsi="Arial" w:hint="cs"/>
          <w:rtl/>
        </w:rPr>
        <w:t>ר</w:t>
      </w:r>
      <w:r w:rsidR="00A43A77">
        <w:rPr>
          <w:rFonts w:ascii="Arial" w:eastAsia="Calibri" w:hAnsi="Arial"/>
          <w:rtl/>
        </w:rPr>
        <w:t xml:space="preserve">שאי היה ביהמ"ש </w:t>
      </w:r>
      <w:r>
        <w:rPr>
          <w:rFonts w:ascii="Arial" w:eastAsia="Calibri" w:hAnsi="Arial" w:hint="cs"/>
          <w:rtl/>
        </w:rPr>
        <w:t xml:space="preserve">שם </w:t>
      </w:r>
      <w:r w:rsidR="00A43A77">
        <w:rPr>
          <w:rFonts w:ascii="Arial" w:eastAsia="Calibri" w:hAnsi="Arial"/>
          <w:rtl/>
        </w:rPr>
        <w:t xml:space="preserve">להחליט כפי שהחליט </w:t>
      </w:r>
      <w:proofErr w:type="spellStart"/>
      <w:r w:rsidR="00A43A77">
        <w:rPr>
          <w:rFonts w:ascii="Arial" w:eastAsia="Calibri" w:hAnsi="Arial"/>
          <w:rtl/>
        </w:rPr>
        <w:t>בנידונינו</w:t>
      </w:r>
      <w:proofErr w:type="spellEnd"/>
      <w:r w:rsidR="00A43A77">
        <w:rPr>
          <w:rFonts w:ascii="Arial" w:eastAsia="Calibri" w:hAnsi="Arial"/>
          <w:rtl/>
        </w:rPr>
        <w:t xml:space="preserve">, שב"כ </w:t>
      </w:r>
      <w:r>
        <w:rPr>
          <w:rFonts w:ascii="Arial" w:eastAsia="Calibri" w:hAnsi="Arial" w:hint="cs"/>
          <w:rtl/>
        </w:rPr>
        <w:t>ה</w:t>
      </w:r>
      <w:r w:rsidR="00A43A77">
        <w:rPr>
          <w:rFonts w:ascii="Arial" w:eastAsia="Calibri" w:hAnsi="Arial"/>
          <w:rtl/>
        </w:rPr>
        <w:t xml:space="preserve">משיבה </w:t>
      </w:r>
      <w:r w:rsidR="00A43A77">
        <w:rPr>
          <w:rFonts w:ascii="Aharoni" w:eastAsia="Calibri" w:hAnsi="Aharoni" w:cs="Aharoni"/>
          <w:rtl/>
        </w:rPr>
        <w:t xml:space="preserve">"יוכל </w:t>
      </w:r>
      <w:r w:rsidR="00A43A77">
        <w:rPr>
          <w:rFonts w:ascii="Aharoni" w:eastAsia="Calibri" w:hAnsi="Aharoni" w:cs="Aharoni"/>
          <w:u w:val="single"/>
          <w:rtl/>
        </w:rPr>
        <w:t>להתמנות בהוצאה לפועל</w:t>
      </w:r>
      <w:r w:rsidR="00A43A77">
        <w:rPr>
          <w:rFonts w:ascii="Aharoni" w:eastAsia="Calibri" w:hAnsi="Aharoni" w:cs="Aharoni"/>
          <w:rtl/>
        </w:rPr>
        <w:t xml:space="preserve"> ככונס נכסים</w:t>
      </w:r>
      <w:r w:rsidR="00A43A77">
        <w:rPr>
          <w:rFonts w:ascii="Aharoni" w:eastAsia="Calibri" w:hAnsi="Aharoni" w:cs="Aharoni"/>
          <w:b/>
          <w:bCs/>
          <w:rtl/>
        </w:rPr>
        <w:t>"</w:t>
      </w:r>
      <w:r w:rsidR="00A43A77">
        <w:rPr>
          <w:rFonts w:ascii="David" w:eastAsia="Calibri" w:hAnsi="David"/>
          <w:b/>
          <w:bCs/>
          <w:rtl/>
        </w:rPr>
        <w:t xml:space="preserve"> </w:t>
      </w:r>
      <w:r w:rsidR="00A43A77">
        <w:rPr>
          <w:rFonts w:ascii="David" w:eastAsia="Calibri" w:hAnsi="David"/>
          <w:rtl/>
        </w:rPr>
        <w:t xml:space="preserve">היינו המינוי </w:t>
      </w:r>
      <w:r w:rsidR="00A43A77" w:rsidRPr="00DC11C4">
        <w:rPr>
          <w:rFonts w:ascii="David" w:eastAsia="Calibri" w:hAnsi="David"/>
          <w:u w:val="single"/>
          <w:rtl/>
        </w:rPr>
        <w:t>י</w:t>
      </w:r>
      <w:r w:rsidRPr="00DC11C4">
        <w:rPr>
          <w:rFonts w:ascii="David" w:eastAsia="Calibri" w:hAnsi="David" w:hint="cs"/>
          <w:u w:val="single"/>
          <w:rtl/>
        </w:rPr>
        <w:t>י</w:t>
      </w:r>
      <w:r w:rsidR="00A43A77" w:rsidRPr="00DC11C4">
        <w:rPr>
          <w:rFonts w:ascii="David" w:eastAsia="Calibri" w:hAnsi="David"/>
          <w:u w:val="single"/>
          <w:rtl/>
        </w:rPr>
        <w:t>עשה על ידי ההוצל"פ</w:t>
      </w:r>
      <w:r w:rsidR="00A43A77">
        <w:rPr>
          <w:rFonts w:ascii="David" w:eastAsia="Calibri" w:hAnsi="David"/>
          <w:rtl/>
        </w:rPr>
        <w:t xml:space="preserve">, ולא על ידי </w:t>
      </w:r>
      <w:r w:rsidR="009A3022">
        <w:rPr>
          <w:rFonts w:ascii="David" w:eastAsia="Calibri" w:hAnsi="David"/>
          <w:rtl/>
        </w:rPr>
        <w:t>ביהמ"ש</w:t>
      </w:r>
      <w:r w:rsidR="00A43A77">
        <w:rPr>
          <w:rFonts w:ascii="David" w:eastAsia="Calibri" w:hAnsi="David"/>
          <w:rtl/>
        </w:rPr>
        <w:t xml:space="preserve">, </w:t>
      </w:r>
      <w:r w:rsidR="00A43A77">
        <w:rPr>
          <w:rFonts w:ascii="David" w:eastAsia="Calibri" w:hAnsi="David"/>
          <w:b/>
          <w:bCs/>
          <w:rtl/>
        </w:rPr>
        <w:t>ו</w:t>
      </w:r>
      <w:r w:rsidR="00A43A77">
        <w:rPr>
          <w:rFonts w:ascii="Aharoni" w:eastAsia="Calibri" w:hAnsi="Aharoni" w:cs="Aharoni"/>
          <w:b/>
          <w:bCs/>
          <w:rtl/>
        </w:rPr>
        <w:t>"שכרו...</w:t>
      </w:r>
      <w:r w:rsidR="00A43A77">
        <w:rPr>
          <w:rFonts w:ascii="Aharoni" w:eastAsia="Calibri" w:hAnsi="Aharoni" w:cs="Aharoni"/>
          <w:b/>
          <w:bCs/>
          <w:u w:val="single"/>
          <w:rtl/>
        </w:rPr>
        <w:t>כפי שייפסק בהוצאה לפועל</w:t>
      </w:r>
      <w:r w:rsidR="00A43A77">
        <w:rPr>
          <w:rFonts w:ascii="Aharoni" w:eastAsia="Calibri" w:hAnsi="Aharoni" w:cs="Aharoni"/>
          <w:rtl/>
        </w:rPr>
        <w:t xml:space="preserve">". </w:t>
      </w:r>
      <w:r w:rsidR="00A43A77">
        <w:rPr>
          <w:rFonts w:ascii="David" w:eastAsia="Calibri" w:hAnsi="David"/>
          <w:rtl/>
        </w:rPr>
        <w:t xml:space="preserve">משעה שהחליט </w:t>
      </w:r>
      <w:r w:rsidR="009A3022">
        <w:rPr>
          <w:rFonts w:ascii="David" w:eastAsia="Calibri" w:hAnsi="David"/>
          <w:rtl/>
        </w:rPr>
        <w:t>ביהמ"ש</w:t>
      </w:r>
      <w:r w:rsidR="00A43A77">
        <w:rPr>
          <w:rFonts w:ascii="David" w:eastAsia="Calibri" w:hAnsi="David"/>
          <w:rtl/>
        </w:rPr>
        <w:t xml:space="preserve"> </w:t>
      </w:r>
      <w:r w:rsidR="003C5FF6">
        <w:rPr>
          <w:rFonts w:ascii="David" w:eastAsia="Calibri" w:hAnsi="David" w:hint="cs"/>
          <w:rtl/>
        </w:rPr>
        <w:t xml:space="preserve">דנן </w:t>
      </w:r>
      <w:r w:rsidR="00A43A77">
        <w:rPr>
          <w:rFonts w:ascii="David" w:eastAsia="Calibri" w:hAnsi="David"/>
          <w:rtl/>
        </w:rPr>
        <w:t xml:space="preserve">כי גם </w:t>
      </w:r>
      <w:r w:rsidR="00A43A77">
        <w:rPr>
          <w:rFonts w:ascii="David" w:eastAsia="Calibri" w:hAnsi="David"/>
          <w:u w:val="single"/>
          <w:rtl/>
        </w:rPr>
        <w:t>מינוי</w:t>
      </w:r>
      <w:r w:rsidR="00A43A77">
        <w:rPr>
          <w:rFonts w:ascii="David" w:eastAsia="Calibri" w:hAnsi="David"/>
          <w:rtl/>
        </w:rPr>
        <w:t xml:space="preserve"> כונס הנכסים וגם </w:t>
      </w:r>
      <w:r w:rsidR="00A43A77">
        <w:rPr>
          <w:rFonts w:ascii="David" w:eastAsia="Calibri" w:hAnsi="David"/>
          <w:u w:val="single"/>
          <w:rtl/>
        </w:rPr>
        <w:t>שכרו</w:t>
      </w:r>
      <w:r w:rsidR="00A43A77">
        <w:rPr>
          <w:rFonts w:ascii="David" w:eastAsia="Calibri" w:hAnsi="David"/>
          <w:rtl/>
        </w:rPr>
        <w:t xml:space="preserve"> יהי</w:t>
      </w:r>
      <w:r w:rsidR="003C5FF6">
        <w:rPr>
          <w:rFonts w:ascii="David" w:eastAsia="Calibri" w:hAnsi="David" w:hint="cs"/>
          <w:rtl/>
        </w:rPr>
        <w:t>ו</w:t>
      </w:r>
      <w:r w:rsidR="00A43A77">
        <w:rPr>
          <w:rFonts w:ascii="David" w:eastAsia="Calibri" w:hAnsi="David"/>
          <w:rtl/>
        </w:rPr>
        <w:t xml:space="preserve"> בהוצל"פ</w:t>
      </w:r>
      <w:r w:rsidR="00A43A77">
        <w:rPr>
          <w:rFonts w:ascii="Aharoni" w:eastAsia="Calibri" w:hAnsi="Aharoni" w:cs="Aharoni"/>
          <w:b/>
          <w:bCs/>
          <w:rtl/>
        </w:rPr>
        <w:t xml:space="preserve">, </w:t>
      </w:r>
      <w:r w:rsidR="00A43A77">
        <w:rPr>
          <w:rFonts w:ascii="David" w:eastAsia="Calibri" w:hAnsi="David"/>
          <w:rtl/>
        </w:rPr>
        <w:t xml:space="preserve">הרי שההוצל"פ מוסמך לקבוע את </w:t>
      </w:r>
      <w:r w:rsidR="00A43A77">
        <w:rPr>
          <w:rFonts w:ascii="David" w:eastAsia="Calibri" w:hAnsi="David"/>
          <w:u w:val="single"/>
          <w:rtl/>
        </w:rPr>
        <w:t>המינוי</w:t>
      </w:r>
      <w:r w:rsidR="00A43A77">
        <w:rPr>
          <w:rFonts w:ascii="David" w:eastAsia="Calibri" w:hAnsi="David"/>
          <w:rtl/>
        </w:rPr>
        <w:t xml:space="preserve">, וגם לקבוע את </w:t>
      </w:r>
      <w:r w:rsidR="00A43A77">
        <w:rPr>
          <w:rFonts w:ascii="David" w:eastAsia="Calibri" w:hAnsi="David"/>
          <w:u w:val="single"/>
          <w:rtl/>
        </w:rPr>
        <w:t>השכר</w:t>
      </w:r>
      <w:r w:rsidR="00A43A77">
        <w:rPr>
          <w:rFonts w:ascii="David" w:eastAsia="Calibri" w:hAnsi="David"/>
          <w:rtl/>
        </w:rPr>
        <w:t xml:space="preserve">, ללא הגבלת תקנות המשפחה שחלות כאמור רק </w:t>
      </w:r>
      <w:r w:rsidR="00557021">
        <w:rPr>
          <w:rFonts w:ascii="David" w:eastAsia="Calibri" w:hAnsi="David" w:hint="cs"/>
          <w:rtl/>
        </w:rPr>
        <w:t xml:space="preserve">על </w:t>
      </w:r>
      <w:r w:rsidR="00557021" w:rsidRPr="00557021">
        <w:rPr>
          <w:rFonts w:ascii="David" w:eastAsia="Calibri" w:hAnsi="David" w:hint="cs"/>
          <w:b/>
          <w:bCs/>
          <w:rtl/>
        </w:rPr>
        <w:t>ביהמ"ש</w:t>
      </w:r>
      <w:r w:rsidR="00557021">
        <w:rPr>
          <w:rFonts w:ascii="David" w:eastAsia="Calibri" w:hAnsi="David" w:hint="cs"/>
          <w:rtl/>
        </w:rPr>
        <w:t xml:space="preserve"> </w:t>
      </w:r>
      <w:r w:rsidR="00A43A77">
        <w:rPr>
          <w:rFonts w:ascii="David" w:eastAsia="Calibri" w:hAnsi="David"/>
          <w:b/>
          <w:bCs/>
          <w:rtl/>
        </w:rPr>
        <w:t>כש</w:t>
      </w:r>
      <w:r w:rsidR="009A3022">
        <w:rPr>
          <w:rFonts w:ascii="David" w:eastAsia="Calibri" w:hAnsi="David"/>
          <w:b/>
          <w:bCs/>
          <w:rtl/>
        </w:rPr>
        <w:t>ביהמ"ש</w:t>
      </w:r>
      <w:r w:rsidR="00A43A77">
        <w:rPr>
          <w:rFonts w:ascii="David" w:eastAsia="Calibri" w:hAnsi="David"/>
          <w:b/>
          <w:bCs/>
          <w:rtl/>
        </w:rPr>
        <w:t xml:space="preserve"> עצמו ממנה את כונס הנכסים ופוסק את שכרו</w:t>
      </w:r>
      <w:r w:rsidR="00A43A77">
        <w:rPr>
          <w:rFonts w:ascii="David" w:eastAsia="Calibri" w:hAnsi="David"/>
          <w:rtl/>
        </w:rPr>
        <w:t xml:space="preserve">. </w:t>
      </w:r>
      <w:r w:rsidR="00557021">
        <w:rPr>
          <w:rFonts w:ascii="David" w:eastAsia="Calibri" w:hAnsi="David" w:hint="cs"/>
          <w:rtl/>
        </w:rPr>
        <w:t>&gt;&gt; הדבר תואם גם את לשון תקנה 36(ב) לתקנות משפחה, העוסקת במינוי כונס נכסים:</w:t>
      </w:r>
    </w:p>
    <w:p w:rsidR="00557021" w:rsidRPr="00557021" w:rsidRDefault="00557021" w:rsidP="00557021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spacing w:before="45" w:after="50" w:line="249" w:lineRule="auto"/>
        <w:ind w:left="1440" w:hanging="720"/>
        <w:jc w:val="both"/>
        <w:rPr>
          <w:rFonts w:ascii="David" w:hAnsi="David"/>
          <w:noProof w:val="0"/>
        </w:rPr>
      </w:pPr>
      <w:r>
        <w:rPr>
          <w:rFonts w:cs="FrankRuehl"/>
          <w:szCs w:val="26"/>
          <w:rtl/>
        </w:rPr>
        <w:tab/>
      </w:r>
      <w:r>
        <w:rPr>
          <w:rFonts w:cs="FrankRuehl" w:hint="cs"/>
          <w:szCs w:val="26"/>
          <w:rtl/>
        </w:rPr>
        <w:t>"</w:t>
      </w:r>
      <w:r w:rsidRPr="00557021">
        <w:rPr>
          <w:rFonts w:cs="FrankRuehl"/>
          <w:szCs w:val="26"/>
          <w:u w:val="single"/>
          <w:rtl/>
        </w:rPr>
        <w:t>בית המשפט</w:t>
      </w:r>
      <w:r>
        <w:rPr>
          <w:rFonts w:cs="FrankRuehl"/>
          <w:szCs w:val="26"/>
          <w:rtl/>
        </w:rPr>
        <w:t xml:space="preserve"> יפסוק את שכרו של כונס נכסים; השכר שיפסוק לא יעלה על 4 אחוזים מתקבולי מימוש בדרך של מכירה, ולגבי ניהול נכס אחר, שאינו כרוך במכירה, לא יעלה על 2 אחוזים מתקבולי הכנסה.</w:t>
      </w:r>
      <w:r>
        <w:rPr>
          <w:rFonts w:cs="FrankRuehl" w:hint="cs"/>
          <w:szCs w:val="26"/>
          <w:rtl/>
        </w:rPr>
        <w:t>"</w:t>
      </w:r>
      <w:r>
        <w:rPr>
          <w:rFonts w:cstheme="minorBidi" w:hint="cs"/>
          <w:noProof w:val="0"/>
          <w:sz w:val="22"/>
          <w:szCs w:val="22"/>
          <w:rtl/>
        </w:rPr>
        <w:t xml:space="preserve"> </w:t>
      </w:r>
      <w:r>
        <w:rPr>
          <w:rFonts w:ascii="David" w:hAnsi="David" w:hint="cs"/>
          <w:noProof w:val="0"/>
          <w:rtl/>
        </w:rPr>
        <w:t xml:space="preserve">= </w:t>
      </w:r>
      <w:r w:rsidRPr="00557021">
        <w:rPr>
          <w:rFonts w:ascii="David" w:hAnsi="David" w:hint="cs"/>
          <w:noProof w:val="0"/>
          <w:u w:val="single"/>
          <w:rtl/>
        </w:rPr>
        <w:t>בי</w:t>
      </w:r>
      <w:r>
        <w:rPr>
          <w:rFonts w:ascii="David" w:hAnsi="David" w:hint="cs"/>
          <w:noProof w:val="0"/>
          <w:u w:val="single"/>
          <w:rtl/>
        </w:rPr>
        <w:t>ת המשפט</w:t>
      </w:r>
      <w:r>
        <w:rPr>
          <w:rFonts w:ascii="David" w:hAnsi="David" w:hint="cs"/>
          <w:noProof w:val="0"/>
          <w:rtl/>
        </w:rPr>
        <w:t>, ולא ערכאת ההוצל"פ.</w:t>
      </w:r>
    </w:p>
    <w:p w:rsidR="00557021" w:rsidRPr="00557021" w:rsidRDefault="00557021" w:rsidP="00A43A77">
      <w:pPr>
        <w:pStyle w:val="ad"/>
        <w:spacing w:line="360" w:lineRule="auto"/>
        <w:jc w:val="both"/>
        <w:rPr>
          <w:rFonts w:ascii="David" w:eastAsia="Calibri" w:hAnsi="David"/>
          <w:rtl/>
        </w:rPr>
      </w:pPr>
    </w:p>
    <w:p w:rsidR="00A43A77" w:rsidRDefault="00A43A77" w:rsidP="003C5FF6">
      <w:pPr>
        <w:ind w:left="360"/>
        <w:rPr>
          <w:rFonts w:ascii="Arial" w:eastAsia="Calibri" w:hAnsi="Arial"/>
          <w:rtl/>
        </w:rPr>
      </w:pPr>
      <w:r>
        <w:rPr>
          <w:rFonts w:ascii="Arial" w:eastAsia="Calibri" w:hAnsi="Arial"/>
          <w:b/>
          <w:bCs/>
          <w:u w:val="single"/>
          <w:rtl/>
        </w:rPr>
        <w:t>חלוקת שכ</w:t>
      </w:r>
      <w:r w:rsidR="00557021">
        <w:rPr>
          <w:rFonts w:ascii="Arial" w:eastAsia="Calibri" w:hAnsi="Arial" w:hint="cs"/>
          <w:b/>
          <w:bCs/>
          <w:u w:val="single"/>
          <w:rtl/>
        </w:rPr>
        <w:t>"ט</w:t>
      </w:r>
      <w:r>
        <w:rPr>
          <w:rFonts w:ascii="Arial" w:eastAsia="Calibri" w:hAnsi="Arial"/>
          <w:b/>
          <w:bCs/>
          <w:u w:val="single"/>
          <w:rtl/>
        </w:rPr>
        <w:t xml:space="preserve"> </w:t>
      </w:r>
      <w:r w:rsidR="003C5FF6">
        <w:rPr>
          <w:rFonts w:ascii="Arial" w:eastAsia="Calibri" w:hAnsi="Arial" w:hint="cs"/>
          <w:b/>
          <w:bCs/>
          <w:u w:val="single"/>
          <w:rtl/>
        </w:rPr>
        <w:t xml:space="preserve">הכונס </w:t>
      </w:r>
      <w:r>
        <w:rPr>
          <w:rFonts w:ascii="Arial" w:eastAsia="Calibri" w:hAnsi="Arial"/>
          <w:b/>
          <w:bCs/>
          <w:u w:val="single"/>
          <w:rtl/>
        </w:rPr>
        <w:t>שלא באופן שווה</w:t>
      </w:r>
    </w:p>
    <w:p w:rsidR="00A43A77" w:rsidRDefault="00A43A77" w:rsidP="00A43A77">
      <w:pPr>
        <w:pStyle w:val="ad"/>
        <w:spacing w:line="360" w:lineRule="auto"/>
        <w:jc w:val="both"/>
        <w:rPr>
          <w:rFonts w:ascii="David" w:eastAsia="Calibri" w:hAnsi="David"/>
          <w:rtl/>
        </w:rPr>
      </w:pPr>
    </w:p>
    <w:p w:rsidR="00A43A77" w:rsidRDefault="00A43A77" w:rsidP="00557021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eastAsia="Calibri" w:hAnsi="David"/>
        </w:rPr>
      </w:pPr>
      <w:r>
        <w:rPr>
          <w:rFonts w:ascii="David" w:eastAsia="Calibri" w:hAnsi="David"/>
          <w:rtl/>
        </w:rPr>
        <w:t xml:space="preserve">צדק </w:t>
      </w:r>
      <w:r w:rsidR="009A3022">
        <w:rPr>
          <w:rFonts w:ascii="David" w:eastAsia="Calibri" w:hAnsi="David"/>
          <w:rtl/>
        </w:rPr>
        <w:t>ביהמ"ש</w:t>
      </w:r>
      <w:r>
        <w:rPr>
          <w:rFonts w:ascii="David" w:eastAsia="Calibri" w:hAnsi="David"/>
          <w:rtl/>
        </w:rPr>
        <w:t xml:space="preserve"> קמא משקבע כי סעיף 12.1 ל</w:t>
      </w:r>
      <w:r w:rsidR="00477DEE">
        <w:rPr>
          <w:rFonts w:ascii="David" w:eastAsia="Calibri" w:hAnsi="David"/>
          <w:rtl/>
        </w:rPr>
        <w:t>פס"ד קמא</w:t>
      </w:r>
      <w:r>
        <w:rPr>
          <w:rFonts w:ascii="David" w:eastAsia="Calibri" w:hAnsi="David"/>
          <w:rtl/>
        </w:rPr>
        <w:t xml:space="preserve"> – פסק דין שהוא עצמו נתן – איננו קובע כלל כי הצדדים יישאו בשכר טרחת הכונס שווה בשווה, אדרבא, לשון </w:t>
      </w:r>
      <w:r w:rsidR="00557021">
        <w:rPr>
          <w:rFonts w:ascii="David" w:eastAsia="Calibri" w:hAnsi="David" w:hint="cs"/>
          <w:rtl/>
        </w:rPr>
        <w:t xml:space="preserve">סעיף 12.1 </w:t>
      </w:r>
      <w:r>
        <w:rPr>
          <w:rFonts w:ascii="David" w:eastAsia="Calibri" w:hAnsi="David"/>
          <w:rtl/>
        </w:rPr>
        <w:t xml:space="preserve">קובעת במפורש כי </w:t>
      </w:r>
      <w:r>
        <w:rPr>
          <w:rFonts w:ascii="David" w:eastAsia="Calibri" w:hAnsi="David"/>
          <w:u w:val="single"/>
          <w:rtl/>
        </w:rPr>
        <w:t>השכר ייפסק על ידי ההוצל"פ</w:t>
      </w:r>
      <w:r>
        <w:rPr>
          <w:rFonts w:ascii="David" w:eastAsia="Calibri" w:hAnsi="David"/>
          <w:rtl/>
        </w:rPr>
        <w:t xml:space="preserve">, ופסיקת השכר מתייחסת הן </w:t>
      </w:r>
      <w:r>
        <w:rPr>
          <w:rFonts w:ascii="David" w:eastAsia="Calibri" w:hAnsi="David"/>
          <w:u w:val="single"/>
          <w:rtl/>
        </w:rPr>
        <w:t>לשיעור השכר</w:t>
      </w:r>
      <w:r>
        <w:rPr>
          <w:rFonts w:ascii="David" w:eastAsia="Calibri" w:hAnsi="David"/>
          <w:rtl/>
        </w:rPr>
        <w:t xml:space="preserve"> והן </w:t>
      </w:r>
      <w:r>
        <w:rPr>
          <w:rFonts w:ascii="David" w:eastAsia="Calibri" w:hAnsi="David"/>
          <w:u w:val="single"/>
          <w:rtl/>
        </w:rPr>
        <w:t>לאופן נשיאת הצדדים בתשלומו</w:t>
      </w:r>
      <w:r>
        <w:rPr>
          <w:rFonts w:ascii="David" w:eastAsia="Calibri" w:hAnsi="David"/>
          <w:rtl/>
        </w:rPr>
        <w:t xml:space="preserve">, כאשר החלוקה שווה בשווה מתייחסת באותו סעיף </w:t>
      </w:r>
      <w:r>
        <w:rPr>
          <w:rFonts w:ascii="David" w:eastAsia="Calibri" w:hAnsi="David"/>
          <w:b/>
          <w:bCs/>
          <w:rtl/>
        </w:rPr>
        <w:t xml:space="preserve">אך ורק </w:t>
      </w:r>
      <w:r w:rsidRPr="00557021">
        <w:rPr>
          <w:rFonts w:ascii="David" w:eastAsia="Calibri" w:hAnsi="David"/>
          <w:b/>
          <w:bCs/>
          <w:u w:val="single"/>
          <w:rtl/>
        </w:rPr>
        <w:t>לתמורה נטו</w:t>
      </w:r>
      <w:r>
        <w:rPr>
          <w:rFonts w:ascii="David" w:eastAsia="Calibri" w:hAnsi="David"/>
          <w:b/>
          <w:bCs/>
          <w:rtl/>
        </w:rPr>
        <w:t xml:space="preserve"> שתתקבל לאחר הפחתת ההוצאות והשכר</w:t>
      </w:r>
      <w:r>
        <w:rPr>
          <w:rFonts w:ascii="David" w:eastAsia="Calibri" w:hAnsi="David"/>
          <w:rtl/>
        </w:rPr>
        <w:t xml:space="preserve">. </w:t>
      </w:r>
    </w:p>
    <w:p w:rsidR="00034D74" w:rsidRPr="00034D74" w:rsidRDefault="00034D74" w:rsidP="00034D74">
      <w:pPr>
        <w:spacing w:line="360" w:lineRule="auto"/>
        <w:ind w:left="720"/>
        <w:jc w:val="both"/>
        <w:rPr>
          <w:rFonts w:ascii="David" w:eastAsia="Calibri" w:hAnsi="David"/>
          <w:sz w:val="20"/>
          <w:szCs w:val="20"/>
          <w:rtl/>
        </w:rPr>
      </w:pPr>
      <w:r>
        <w:rPr>
          <w:rFonts w:ascii="David" w:eastAsia="Calibri" w:hAnsi="David" w:hint="cs"/>
          <w:rtl/>
        </w:rPr>
        <w:t xml:space="preserve">ונביא בשנית את לשונו של סע' 12.1 לפס"ד קמא: </w:t>
      </w:r>
      <w:r>
        <w:rPr>
          <w:rFonts w:ascii="David" w:eastAsia="Calibri" w:hAnsi="David" w:hint="cs"/>
          <w:sz w:val="20"/>
          <w:szCs w:val="20"/>
          <w:rtl/>
        </w:rPr>
        <w:t>[כאמור ההדשגות אינן במקור]</w:t>
      </w:r>
    </w:p>
    <w:p w:rsidR="00034D74" w:rsidRDefault="00034D74" w:rsidP="00034D74">
      <w:pPr>
        <w:pStyle w:val="ad"/>
        <w:spacing w:line="360" w:lineRule="auto"/>
        <w:ind w:left="1440"/>
        <w:jc w:val="both"/>
        <w:rPr>
          <w:rFonts w:ascii="Aharoni" w:eastAsia="Calibri" w:hAnsi="Aharoni" w:cs="Aharoni"/>
          <w:rtl/>
        </w:rPr>
      </w:pPr>
      <w:r>
        <w:rPr>
          <w:rFonts w:ascii="Aharoni" w:eastAsia="Calibri" w:hAnsi="Aharoni" w:cs="Aharoni"/>
          <w:rtl/>
        </w:rPr>
        <w:t>"בא כו</w:t>
      </w:r>
      <w:r>
        <w:rPr>
          <w:rFonts w:ascii="Aharoni" w:eastAsia="Calibri" w:hAnsi="Aharoni" w:cs="Aharoni" w:hint="cs"/>
          <w:rtl/>
        </w:rPr>
        <w:t>ח</w:t>
      </w:r>
      <w:r>
        <w:rPr>
          <w:rFonts w:ascii="Aharoni" w:eastAsia="Calibri" w:hAnsi="Aharoni" w:cs="Aharoni"/>
          <w:rtl/>
        </w:rPr>
        <w:t xml:space="preserve"> התובעת </w:t>
      </w:r>
      <w:r w:rsidRPr="00411601">
        <w:rPr>
          <w:rFonts w:ascii="Aharoni" w:eastAsia="Calibri" w:hAnsi="Aharoni" w:cs="Aharoni"/>
          <w:u w:val="single"/>
          <w:rtl/>
        </w:rPr>
        <w:t>יחלק את התמורה שתתקבל לאחר הפחתת</w:t>
      </w:r>
      <w:r>
        <w:rPr>
          <w:rFonts w:ascii="Aharoni" w:eastAsia="Calibri" w:hAnsi="Aharoni" w:cs="Aharoni"/>
          <w:rtl/>
        </w:rPr>
        <w:t xml:space="preserve"> הוצאות המכירה (אשר בהעדר הסכמה בין הצדדים יאושרו בידי רשם ההוצאה לפועל) לרבות </w:t>
      </w:r>
      <w:r w:rsidRPr="00AD1035">
        <w:rPr>
          <w:rFonts w:ascii="Aharoni" w:eastAsia="Calibri" w:hAnsi="Aharoni" w:cs="Aharoni"/>
          <w:u w:val="single"/>
          <w:rtl/>
        </w:rPr>
        <w:t>שכרו</w:t>
      </w:r>
      <w:r>
        <w:rPr>
          <w:rFonts w:ascii="Aharoni" w:eastAsia="Calibri" w:hAnsi="Aharoni" w:cs="Aharoni"/>
          <w:rtl/>
        </w:rPr>
        <w:t xml:space="preserve"> (אשר בהעדר הסכמה בין הצדדים - </w:t>
      </w:r>
      <w:r>
        <w:rPr>
          <w:rFonts w:ascii="Aharoni" w:eastAsia="Calibri" w:hAnsi="Aharoni" w:cs="Aharoni"/>
          <w:u w:val="single"/>
          <w:rtl/>
        </w:rPr>
        <w:t>כפי שייפסק בהוצאה לפועל</w:t>
      </w:r>
      <w:r>
        <w:rPr>
          <w:rFonts w:ascii="Aharoni" w:eastAsia="Calibri" w:hAnsi="Aharoni" w:cs="Aharoni"/>
          <w:rtl/>
        </w:rPr>
        <w:t xml:space="preserve">) </w:t>
      </w:r>
      <w:r w:rsidRPr="00411601">
        <w:rPr>
          <w:rFonts w:ascii="Aharoni" w:eastAsia="Calibri" w:hAnsi="Aharoni" w:cs="Aharoni"/>
          <w:u w:val="single"/>
          <w:rtl/>
        </w:rPr>
        <w:t>בין הצדדים שווה בשווה</w:t>
      </w:r>
      <w:r>
        <w:rPr>
          <w:rFonts w:ascii="Aharoni" w:eastAsia="Calibri" w:hAnsi="Aharoni" w:cs="Aharoni"/>
          <w:rtl/>
        </w:rPr>
        <w:t xml:space="preserve"> – כפי חלקן של הצדדים בזכויות המקרקעין."</w:t>
      </w:r>
    </w:p>
    <w:p w:rsidR="00034D74" w:rsidRDefault="00034D74" w:rsidP="00034D74">
      <w:pPr>
        <w:spacing w:line="360" w:lineRule="auto"/>
        <w:jc w:val="both"/>
        <w:rPr>
          <w:rFonts w:ascii="David" w:eastAsia="Calibri" w:hAnsi="David"/>
          <w:rtl/>
        </w:rPr>
      </w:pPr>
      <w:r>
        <w:rPr>
          <w:rFonts w:ascii="David" w:eastAsia="Calibri" w:hAnsi="David"/>
          <w:rtl/>
        </w:rPr>
        <w:lastRenderedPageBreak/>
        <w:tab/>
      </w:r>
      <w:r>
        <w:rPr>
          <w:rFonts w:ascii="David" w:eastAsia="Calibri" w:hAnsi="David" w:hint="cs"/>
          <w:rtl/>
        </w:rPr>
        <w:t xml:space="preserve">הנה כי כן </w:t>
      </w:r>
      <w:r w:rsidRPr="00034D74">
        <w:rPr>
          <w:rFonts w:ascii="David" w:eastAsia="Calibri" w:hAnsi="David" w:hint="cs"/>
          <w:u w:val="single"/>
          <w:rtl/>
        </w:rPr>
        <w:t>התמורה נטו</w:t>
      </w:r>
      <w:r>
        <w:rPr>
          <w:rFonts w:ascii="David" w:eastAsia="Calibri" w:hAnsi="David" w:hint="cs"/>
          <w:rtl/>
        </w:rPr>
        <w:t xml:space="preserve"> היא זו שתתחלק שווה בשווה, ולא שכה"ט הכונס...</w:t>
      </w:r>
    </w:p>
    <w:p w:rsidR="00034D74" w:rsidRPr="00034D74" w:rsidRDefault="00034D74" w:rsidP="00034D74">
      <w:pPr>
        <w:spacing w:line="360" w:lineRule="auto"/>
        <w:jc w:val="both"/>
        <w:rPr>
          <w:rFonts w:ascii="David" w:eastAsia="Calibri" w:hAnsi="David"/>
          <w:rtl/>
        </w:rPr>
      </w:pPr>
    </w:p>
    <w:p w:rsidR="00A43A77" w:rsidRDefault="00034D74" w:rsidP="00AD1035">
      <w:pPr>
        <w:pStyle w:val="ad"/>
        <w:spacing w:line="360" w:lineRule="auto"/>
        <w:jc w:val="both"/>
        <w:rPr>
          <w:rFonts w:ascii="David" w:eastAsia="Calibri" w:hAnsi="David"/>
        </w:rPr>
      </w:pPr>
      <w:r>
        <w:rPr>
          <w:rFonts w:ascii="David" w:eastAsia="Calibri" w:hAnsi="David" w:hint="cs"/>
          <w:rtl/>
        </w:rPr>
        <w:t xml:space="preserve">זאת ועוד: </w:t>
      </w:r>
      <w:r w:rsidR="00A43A77">
        <w:rPr>
          <w:rFonts w:ascii="David" w:eastAsia="Calibri" w:hAnsi="David"/>
          <w:rtl/>
        </w:rPr>
        <w:t xml:space="preserve">גם אם דקדוק במילות סעיף 12.1 הנ"ל יכול </w:t>
      </w:r>
      <w:r w:rsidR="00557021">
        <w:rPr>
          <w:rFonts w:ascii="David" w:eastAsia="Calibri" w:hAnsi="David" w:hint="cs"/>
          <w:rtl/>
        </w:rPr>
        <w:t xml:space="preserve">היה </w:t>
      </w:r>
      <w:r w:rsidR="00A43A77">
        <w:rPr>
          <w:rFonts w:ascii="David" w:eastAsia="Calibri" w:hAnsi="David"/>
          <w:rtl/>
        </w:rPr>
        <w:t>להתפרש כדעת המערערים, הרי ש</w:t>
      </w:r>
      <w:r w:rsidR="009A3022">
        <w:rPr>
          <w:rFonts w:ascii="David" w:eastAsia="Calibri" w:hAnsi="David"/>
          <w:rtl/>
        </w:rPr>
        <w:t>ביהמ"ש</w:t>
      </w:r>
      <w:r w:rsidR="00A43A77">
        <w:rPr>
          <w:rFonts w:ascii="David" w:eastAsia="Calibri" w:hAnsi="David"/>
          <w:rtl/>
        </w:rPr>
        <w:t xml:space="preserve"> קמא בפס</w:t>
      </w:r>
      <w:r w:rsidR="00557021">
        <w:rPr>
          <w:rFonts w:ascii="David" w:eastAsia="Calibri" w:hAnsi="David" w:hint="cs"/>
          <w:rtl/>
        </w:rPr>
        <w:t>ה"ד</w:t>
      </w:r>
      <w:r w:rsidR="00A43A77">
        <w:rPr>
          <w:rFonts w:ascii="David" w:eastAsia="Calibri" w:hAnsi="David"/>
          <w:rtl/>
        </w:rPr>
        <w:t xml:space="preserve"> בערעור</w:t>
      </w:r>
      <w:r w:rsidR="00557021">
        <w:rPr>
          <w:rFonts w:ascii="David" w:eastAsia="Calibri" w:hAnsi="David" w:hint="cs"/>
          <w:rtl/>
        </w:rPr>
        <w:t xml:space="preserve"> בא </w:t>
      </w:r>
      <w:r w:rsidR="00557021">
        <w:rPr>
          <w:rFonts w:ascii="David" w:eastAsia="Calibri" w:hAnsi="David" w:hint="cs"/>
          <w:u w:val="single"/>
          <w:rtl/>
        </w:rPr>
        <w:t>וה</w:t>
      </w:r>
      <w:r w:rsidR="00A43A77" w:rsidRPr="00557021">
        <w:rPr>
          <w:rFonts w:ascii="David" w:eastAsia="Calibri" w:hAnsi="David"/>
          <w:u w:val="single"/>
          <w:rtl/>
        </w:rPr>
        <w:t xml:space="preserve">בהיר </w:t>
      </w:r>
      <w:r w:rsidR="00557021">
        <w:rPr>
          <w:rFonts w:ascii="David" w:eastAsia="Calibri" w:hAnsi="David" w:hint="cs"/>
          <w:u w:val="single"/>
          <w:rtl/>
        </w:rPr>
        <w:t xml:space="preserve">את </w:t>
      </w:r>
      <w:r w:rsidR="00450C08">
        <w:rPr>
          <w:rFonts w:ascii="David" w:eastAsia="Calibri" w:hAnsi="David" w:hint="cs"/>
          <w:u w:val="single"/>
          <w:rtl/>
        </w:rPr>
        <w:t>אשר התכוון ב</w:t>
      </w:r>
      <w:r w:rsidR="00A43A77" w:rsidRPr="00557021">
        <w:rPr>
          <w:rFonts w:ascii="David" w:eastAsia="Calibri" w:hAnsi="David"/>
          <w:u w:val="single"/>
          <w:rtl/>
        </w:rPr>
        <w:t>אותו סעיף</w:t>
      </w:r>
      <w:r w:rsidR="00557021" w:rsidRPr="00557021">
        <w:rPr>
          <w:rFonts w:ascii="David" w:eastAsia="Calibri" w:hAnsi="David" w:hint="cs"/>
          <w:u w:val="single"/>
          <w:rtl/>
        </w:rPr>
        <w:t xml:space="preserve"> שהוא עצמו </w:t>
      </w:r>
      <w:r w:rsidR="00450C08">
        <w:rPr>
          <w:rFonts w:ascii="David" w:eastAsia="Calibri" w:hAnsi="David" w:hint="cs"/>
          <w:u w:val="single"/>
          <w:rtl/>
        </w:rPr>
        <w:t>ניסח</w:t>
      </w:r>
      <w:r w:rsidR="00450C08" w:rsidRPr="00450C08">
        <w:rPr>
          <w:rFonts w:ascii="David" w:eastAsia="Calibri" w:hAnsi="David" w:hint="cs"/>
          <w:rtl/>
        </w:rPr>
        <w:t xml:space="preserve">. </w:t>
      </w:r>
      <w:r w:rsidR="00A43A77">
        <w:rPr>
          <w:rFonts w:ascii="David" w:eastAsia="Calibri" w:hAnsi="David"/>
          <w:rtl/>
        </w:rPr>
        <w:t>והגם ש</w:t>
      </w:r>
      <w:r w:rsidR="009A3022">
        <w:rPr>
          <w:rFonts w:ascii="David" w:eastAsia="Calibri" w:hAnsi="David"/>
          <w:rtl/>
        </w:rPr>
        <w:t>בימ"ש</w:t>
      </w:r>
      <w:r w:rsidR="00A43A77">
        <w:rPr>
          <w:rFonts w:ascii="David" w:eastAsia="Calibri" w:hAnsi="David"/>
          <w:rtl/>
        </w:rPr>
        <w:t xml:space="preserve"> איננו מוסמך להבהיר ולפרש את החלטותיו שלו (בג"צ 897/78 </w:t>
      </w:r>
      <w:r w:rsidR="00A43A77">
        <w:rPr>
          <w:rFonts w:ascii="David" w:eastAsia="Calibri" w:hAnsi="David"/>
          <w:b/>
          <w:bCs/>
          <w:rtl/>
        </w:rPr>
        <w:t>אליהו יגאל נ' בית הדין הארצי לעבודה</w:t>
      </w:r>
      <w:r w:rsidR="00A43A77">
        <w:rPr>
          <w:rFonts w:ascii="David" w:eastAsia="Calibri" w:hAnsi="David"/>
          <w:rtl/>
        </w:rPr>
        <w:t>)</w:t>
      </w:r>
      <w:r w:rsidR="00AD1035">
        <w:rPr>
          <w:rFonts w:ascii="David" w:eastAsia="Calibri" w:hAnsi="David" w:hint="cs"/>
          <w:rtl/>
        </w:rPr>
        <w:t>,</w:t>
      </w:r>
      <w:r w:rsidR="00A43A77">
        <w:rPr>
          <w:rFonts w:ascii="David" w:eastAsia="Calibri" w:hAnsi="David"/>
          <w:rtl/>
        </w:rPr>
        <w:t xml:space="preserve"> הרי שראשית- רשם ההוצל"פ מוסמך לפרש את פסק הדין, </w:t>
      </w:r>
      <w:r w:rsidR="00AD1035">
        <w:rPr>
          <w:rFonts w:ascii="David" w:eastAsia="Calibri" w:hAnsi="David" w:hint="cs"/>
          <w:rtl/>
        </w:rPr>
        <w:t>או בעצמו או לפנות לביהמ"ש שנתן את פסה"ד</w:t>
      </w:r>
      <w:r w:rsidR="00A43A77">
        <w:rPr>
          <w:rFonts w:ascii="David" w:eastAsia="Calibri" w:hAnsi="David"/>
          <w:rtl/>
        </w:rPr>
        <w:t xml:space="preserve"> (סע</w:t>
      </w:r>
      <w:r w:rsidR="00AD1035">
        <w:rPr>
          <w:rFonts w:ascii="David" w:eastAsia="Calibri" w:hAnsi="David" w:hint="cs"/>
          <w:rtl/>
        </w:rPr>
        <w:t>'</w:t>
      </w:r>
      <w:r w:rsidR="00A43A77">
        <w:rPr>
          <w:rFonts w:ascii="David" w:eastAsia="Calibri" w:hAnsi="David"/>
          <w:rtl/>
        </w:rPr>
        <w:t xml:space="preserve"> 12 לחוק ההוצל"פ)</w:t>
      </w:r>
      <w:r w:rsidR="00AD1035">
        <w:rPr>
          <w:rFonts w:ascii="David" w:eastAsia="Calibri" w:hAnsi="David" w:hint="cs"/>
          <w:rtl/>
        </w:rPr>
        <w:t xml:space="preserve"> וכך כב' רשמת ההוצל"פ פעלה </w:t>
      </w:r>
      <w:proofErr w:type="spellStart"/>
      <w:r w:rsidR="00AD1035">
        <w:rPr>
          <w:rFonts w:ascii="David" w:eastAsia="Calibri" w:hAnsi="David" w:hint="cs"/>
          <w:rtl/>
        </w:rPr>
        <w:t>ב</w:t>
      </w:r>
      <w:r w:rsidR="00450C08">
        <w:rPr>
          <w:rFonts w:ascii="David" w:eastAsia="Calibri" w:hAnsi="David" w:hint="cs"/>
          <w:rtl/>
        </w:rPr>
        <w:t>נידונינו</w:t>
      </w:r>
      <w:proofErr w:type="spellEnd"/>
      <w:r w:rsidR="00AD1035">
        <w:rPr>
          <w:rFonts w:ascii="David" w:eastAsia="Calibri" w:hAnsi="David" w:hint="cs"/>
          <w:rtl/>
        </w:rPr>
        <w:t>: פירשה בעצמה את פסה"ד</w:t>
      </w:r>
      <w:r w:rsidR="00A43A77">
        <w:rPr>
          <w:rFonts w:ascii="David" w:eastAsia="Calibri" w:hAnsi="David"/>
          <w:rtl/>
        </w:rPr>
        <w:t xml:space="preserve">. ושנית- </w:t>
      </w:r>
      <w:proofErr w:type="spellStart"/>
      <w:r w:rsidR="00A43A77">
        <w:rPr>
          <w:rFonts w:ascii="David" w:eastAsia="Calibri" w:hAnsi="David"/>
          <w:rtl/>
        </w:rPr>
        <w:t>בנידונינו</w:t>
      </w:r>
      <w:proofErr w:type="spellEnd"/>
      <w:r w:rsidR="00A43A77">
        <w:rPr>
          <w:rFonts w:ascii="David" w:eastAsia="Calibri" w:hAnsi="David"/>
          <w:rtl/>
        </w:rPr>
        <w:t xml:space="preserve"> </w:t>
      </w:r>
      <w:r w:rsidR="009A3022">
        <w:rPr>
          <w:rFonts w:ascii="David" w:eastAsia="Calibri" w:hAnsi="David"/>
          <w:rtl/>
        </w:rPr>
        <w:t>ביהמ"ש</w:t>
      </w:r>
      <w:r w:rsidR="00A43A77">
        <w:rPr>
          <w:rFonts w:ascii="David" w:eastAsia="Calibri" w:hAnsi="David"/>
          <w:rtl/>
        </w:rPr>
        <w:t xml:space="preserve"> </w:t>
      </w:r>
      <w:r w:rsidR="00AD1035">
        <w:rPr>
          <w:rFonts w:ascii="David" w:eastAsia="Calibri" w:hAnsi="David" w:hint="cs"/>
          <w:rtl/>
        </w:rPr>
        <w:t xml:space="preserve">עצמו </w:t>
      </w:r>
      <w:r w:rsidR="00A43A77">
        <w:rPr>
          <w:rFonts w:ascii="David" w:eastAsia="Calibri" w:hAnsi="David"/>
          <w:rtl/>
        </w:rPr>
        <w:t xml:space="preserve">פירש את פסק דינו </w:t>
      </w:r>
      <w:r w:rsidR="00A43A77">
        <w:rPr>
          <w:rFonts w:ascii="David" w:eastAsia="Calibri" w:hAnsi="David"/>
          <w:b/>
          <w:bCs/>
          <w:rtl/>
        </w:rPr>
        <w:t>במסגרת פסק</w:t>
      </w:r>
      <w:r w:rsidR="00450C08">
        <w:rPr>
          <w:rFonts w:ascii="David" w:eastAsia="Calibri" w:hAnsi="David" w:hint="cs"/>
          <w:b/>
          <w:bCs/>
          <w:rtl/>
        </w:rPr>
        <w:t>-</w:t>
      </w:r>
      <w:r w:rsidR="00A43A77">
        <w:rPr>
          <w:rFonts w:ascii="David" w:eastAsia="Calibri" w:hAnsi="David"/>
          <w:b/>
          <w:bCs/>
          <w:rtl/>
        </w:rPr>
        <w:t xml:space="preserve">דין שהוא עצמו נתן </w:t>
      </w:r>
      <w:r w:rsidR="00A43A77" w:rsidRPr="00450C08">
        <w:rPr>
          <w:rFonts w:ascii="David" w:eastAsia="Calibri" w:hAnsi="David"/>
          <w:b/>
          <w:bCs/>
          <w:rtl/>
        </w:rPr>
        <w:t>בערעור</w:t>
      </w:r>
      <w:r w:rsidR="00450C08" w:rsidRPr="00450C08">
        <w:rPr>
          <w:rFonts w:ascii="David" w:eastAsia="Calibri" w:hAnsi="David" w:hint="cs"/>
          <w:b/>
          <w:bCs/>
          <w:rtl/>
        </w:rPr>
        <w:t xml:space="preserve"> על אותו סעיף</w:t>
      </w:r>
      <w:r w:rsidR="00450C08">
        <w:rPr>
          <w:rFonts w:ascii="David" w:eastAsia="Calibri" w:hAnsi="David" w:hint="cs"/>
          <w:rtl/>
        </w:rPr>
        <w:t>-</w:t>
      </w:r>
      <w:r w:rsidR="00A43A77">
        <w:rPr>
          <w:rFonts w:ascii="David" w:eastAsia="Calibri" w:hAnsi="David"/>
          <w:rtl/>
        </w:rPr>
        <w:t xml:space="preserve"> דבר שהוא בהחלט מוסמך לעשותו במסגרת סמכותו הטבועה</w:t>
      </w:r>
      <w:r w:rsidR="00AD1035">
        <w:rPr>
          <w:rFonts w:ascii="David" w:eastAsia="Calibri" w:hAnsi="David" w:hint="cs"/>
          <w:rtl/>
        </w:rPr>
        <w:t xml:space="preserve"> שהרי על כך היה הערעור</w:t>
      </w:r>
      <w:r w:rsidR="00450C08">
        <w:rPr>
          <w:rFonts w:ascii="David" w:eastAsia="Calibri" w:hAnsi="David" w:hint="cs"/>
          <w:rtl/>
        </w:rPr>
        <w:t>.</w:t>
      </w:r>
      <w:r w:rsidR="00A43A77">
        <w:rPr>
          <w:rFonts w:ascii="David" w:eastAsia="Calibri" w:hAnsi="David"/>
          <w:rtl/>
        </w:rPr>
        <w:t xml:space="preserve"> (ראה גם </w:t>
      </w:r>
      <w:proofErr w:type="spellStart"/>
      <w:r w:rsidR="00A43A77">
        <w:rPr>
          <w:rFonts w:ascii="David" w:eastAsia="Calibri" w:hAnsi="David"/>
          <w:rtl/>
        </w:rPr>
        <w:t>רמ"ש</w:t>
      </w:r>
      <w:proofErr w:type="spellEnd"/>
      <w:r w:rsidR="00A43A77">
        <w:rPr>
          <w:rFonts w:ascii="David" w:eastAsia="Calibri" w:hAnsi="David"/>
          <w:rtl/>
        </w:rPr>
        <w:t xml:space="preserve"> 8287-10-14 </w:t>
      </w:r>
      <w:r w:rsidR="00A43A77">
        <w:rPr>
          <w:rFonts w:ascii="David" w:eastAsia="Calibri" w:hAnsi="David"/>
          <w:b/>
          <w:bCs/>
          <w:rtl/>
        </w:rPr>
        <w:t xml:space="preserve">א.ע נ' </w:t>
      </w:r>
      <w:proofErr w:type="spellStart"/>
      <w:r w:rsidR="00A43A77">
        <w:rPr>
          <w:rFonts w:ascii="David" w:eastAsia="Calibri" w:hAnsi="David"/>
          <w:b/>
          <w:bCs/>
          <w:rtl/>
        </w:rPr>
        <w:t>ר.ע</w:t>
      </w:r>
      <w:proofErr w:type="spellEnd"/>
      <w:r w:rsidR="00A43A77">
        <w:rPr>
          <w:rFonts w:ascii="David" w:eastAsia="Calibri" w:hAnsi="David"/>
          <w:rtl/>
        </w:rPr>
        <w:t>, עמ</w:t>
      </w:r>
      <w:r w:rsidR="00450C08">
        <w:rPr>
          <w:rFonts w:ascii="David" w:eastAsia="Calibri" w:hAnsi="David" w:hint="cs"/>
          <w:rtl/>
        </w:rPr>
        <w:t xml:space="preserve">' </w:t>
      </w:r>
      <w:r w:rsidR="00A43A77">
        <w:rPr>
          <w:rFonts w:ascii="David" w:eastAsia="Calibri" w:hAnsi="David"/>
          <w:rtl/>
        </w:rPr>
        <w:t>4 שם</w:t>
      </w:r>
      <w:r w:rsidR="00450C08">
        <w:rPr>
          <w:rFonts w:ascii="David" w:eastAsia="Calibri" w:hAnsi="David" w:hint="cs"/>
          <w:rtl/>
        </w:rPr>
        <w:t xml:space="preserve"> ש' </w:t>
      </w:r>
      <w:r w:rsidR="00A43A77">
        <w:rPr>
          <w:rFonts w:ascii="David" w:eastAsia="Calibri" w:hAnsi="David"/>
          <w:rtl/>
        </w:rPr>
        <w:t xml:space="preserve">25-30). </w:t>
      </w:r>
    </w:p>
    <w:p w:rsidR="00A43A77" w:rsidRDefault="00A43A77" w:rsidP="00A43A77">
      <w:pPr>
        <w:pStyle w:val="ad"/>
        <w:spacing w:line="360" w:lineRule="auto"/>
        <w:jc w:val="both"/>
        <w:rPr>
          <w:rFonts w:ascii="David" w:eastAsia="Calibri" w:hAnsi="David"/>
          <w:rtl/>
        </w:rPr>
      </w:pPr>
    </w:p>
    <w:p w:rsidR="004F1E31" w:rsidRPr="004F1E31" w:rsidRDefault="00A43A77" w:rsidP="004F1E31">
      <w:pPr>
        <w:pStyle w:val="ad"/>
        <w:numPr>
          <w:ilvl w:val="0"/>
          <w:numId w:val="1"/>
        </w:numPr>
        <w:spacing w:line="360" w:lineRule="auto"/>
        <w:jc w:val="both"/>
        <w:rPr>
          <w:rFonts w:ascii="David" w:eastAsia="Calibri" w:hAnsi="David"/>
          <w:rtl/>
        </w:rPr>
      </w:pPr>
      <w:r w:rsidRPr="004F1E31">
        <w:rPr>
          <w:rFonts w:ascii="David" w:eastAsia="Calibri" w:hAnsi="David"/>
          <w:rtl/>
        </w:rPr>
        <w:t xml:space="preserve">לעצם החלטת כבוד רשמת ההוצל"פ לחלק את תשלום שכר טרחת הכונס בין הצדדים 75% לעומת 25%, צדק </w:t>
      </w:r>
      <w:r w:rsidR="009A3022" w:rsidRPr="004F1E31">
        <w:rPr>
          <w:rFonts w:ascii="David" w:eastAsia="Calibri" w:hAnsi="David"/>
          <w:rtl/>
        </w:rPr>
        <w:t>בימ"ש</w:t>
      </w:r>
      <w:r w:rsidRPr="004F1E31">
        <w:rPr>
          <w:rFonts w:ascii="David" w:eastAsia="Calibri" w:hAnsi="David"/>
          <w:rtl/>
        </w:rPr>
        <w:t xml:space="preserve"> קמא בפס</w:t>
      </w:r>
      <w:r w:rsidR="004F1E31" w:rsidRPr="004F1E31">
        <w:rPr>
          <w:rFonts w:ascii="David" w:eastAsia="Calibri" w:hAnsi="David" w:hint="cs"/>
          <w:rtl/>
        </w:rPr>
        <w:t>ה"ד</w:t>
      </w:r>
      <w:r w:rsidRPr="004F1E31">
        <w:rPr>
          <w:rFonts w:ascii="David" w:eastAsia="Calibri" w:hAnsi="David"/>
          <w:rtl/>
        </w:rPr>
        <w:t xml:space="preserve"> בערעור משלא מצא מקום להתערב באופן זה, שכן כבוד רשמת ה</w:t>
      </w:r>
      <w:r w:rsidR="00411601" w:rsidRPr="004F1E31">
        <w:rPr>
          <w:rFonts w:ascii="David" w:eastAsia="Calibri" w:hAnsi="David"/>
          <w:rtl/>
        </w:rPr>
        <w:t>הוצל"פ</w:t>
      </w:r>
      <w:r w:rsidRPr="004F1E31">
        <w:rPr>
          <w:rFonts w:ascii="David" w:eastAsia="Calibri" w:hAnsi="David"/>
          <w:rtl/>
        </w:rPr>
        <w:t xml:space="preserve"> </w:t>
      </w:r>
      <w:r w:rsidRPr="004F1E31">
        <w:rPr>
          <w:rFonts w:ascii="David" w:eastAsia="Calibri" w:hAnsi="David"/>
          <w:u w:val="single"/>
          <w:rtl/>
        </w:rPr>
        <w:t>נימקה היטב</w:t>
      </w:r>
      <w:r w:rsidR="00450C08" w:rsidRPr="004F1E31">
        <w:rPr>
          <w:rFonts w:ascii="David" w:eastAsia="Calibri" w:hAnsi="David"/>
          <w:rtl/>
        </w:rPr>
        <w:t xml:space="preserve"> מדוע בחרה באופן חלוקה זה</w:t>
      </w:r>
      <w:r w:rsidR="00450C08" w:rsidRPr="004F1E31">
        <w:rPr>
          <w:rFonts w:ascii="David" w:eastAsia="Calibri" w:hAnsi="David" w:hint="cs"/>
          <w:rtl/>
        </w:rPr>
        <w:t xml:space="preserve">, תוך שעמדה </w:t>
      </w:r>
      <w:r w:rsidR="00450C08" w:rsidRPr="004F1E31">
        <w:rPr>
          <w:rFonts w:ascii="David" w:eastAsia="Calibri" w:hAnsi="David" w:hint="cs"/>
          <w:b/>
          <w:bCs/>
          <w:rtl/>
        </w:rPr>
        <w:t>על חוסר תום ליבם של המבקשים, אשר בעטיים נוצר הצורך בהליכי ההוצל"פ ובמינוי כונס הנכסים</w:t>
      </w:r>
      <w:r w:rsidR="004F1E31" w:rsidRPr="004F1E31">
        <w:rPr>
          <w:rFonts w:ascii="David" w:eastAsia="Calibri" w:hAnsi="David" w:hint="cs"/>
          <w:rtl/>
        </w:rPr>
        <w:t xml:space="preserve">, בפרט שאת נימוקה </w:t>
      </w:r>
      <w:r w:rsidR="004F1E31" w:rsidRPr="004F1E31">
        <w:rPr>
          <w:rFonts w:ascii="Arial" w:eastAsia="Calibri" w:hAnsi="Arial"/>
          <w:rtl/>
        </w:rPr>
        <w:t xml:space="preserve">סיימה </w:t>
      </w:r>
      <w:r w:rsidR="004F1E31">
        <w:rPr>
          <w:rFonts w:ascii="Arial" w:eastAsia="Calibri" w:hAnsi="Arial" w:hint="cs"/>
          <w:rtl/>
        </w:rPr>
        <w:t xml:space="preserve">כאמור </w:t>
      </w:r>
      <w:r w:rsidR="004F1E31" w:rsidRPr="004F1E31">
        <w:rPr>
          <w:rFonts w:ascii="Arial" w:eastAsia="Calibri" w:hAnsi="Arial"/>
          <w:rtl/>
        </w:rPr>
        <w:t xml:space="preserve">במילים </w:t>
      </w:r>
      <w:r w:rsidR="004F1E31" w:rsidRPr="004F1E31">
        <w:rPr>
          <w:rFonts w:ascii="Aharoni" w:eastAsia="Calibri" w:hAnsi="Aharoni" w:cs="Aharoni"/>
          <w:rtl/>
        </w:rPr>
        <w:t>"חלוקה זו נראית הוגנת בנסיבות העניין"</w:t>
      </w:r>
      <w:r w:rsidR="004F1E31">
        <w:rPr>
          <w:rFonts w:ascii="David" w:eastAsia="Calibri" w:hAnsi="David" w:hint="cs"/>
          <w:rtl/>
        </w:rPr>
        <w:t xml:space="preserve"> מכאן  שכב' הרשמת </w:t>
      </w:r>
      <w:r w:rsidR="004F1E31" w:rsidRPr="004F1E31">
        <w:rPr>
          <w:rFonts w:ascii="David" w:eastAsia="Calibri" w:hAnsi="David" w:hint="cs"/>
          <w:u w:val="single"/>
          <w:rtl/>
        </w:rPr>
        <w:t>שקלה</w:t>
      </w:r>
      <w:r w:rsidR="004F1E31">
        <w:rPr>
          <w:rFonts w:ascii="David" w:eastAsia="Calibri" w:hAnsi="David" w:hint="cs"/>
          <w:rtl/>
        </w:rPr>
        <w:t xml:space="preserve"> היטב את הדברים, ואין כל שגיאה בולטת המחייבת התערבות </w:t>
      </w:r>
      <w:proofErr w:type="spellStart"/>
      <w:r w:rsidR="004F1E31">
        <w:rPr>
          <w:rFonts w:ascii="David" w:eastAsia="Calibri" w:hAnsi="David" w:hint="cs"/>
          <w:rtl/>
        </w:rPr>
        <w:t>ערעורית</w:t>
      </w:r>
      <w:proofErr w:type="spellEnd"/>
      <w:r w:rsidR="004F1E31">
        <w:rPr>
          <w:rFonts w:ascii="David" w:eastAsia="Calibri" w:hAnsi="David" w:hint="cs"/>
          <w:rtl/>
        </w:rPr>
        <w:t xml:space="preserve"> בשיקול הדעת שלה</w:t>
      </w:r>
    </w:p>
    <w:p w:rsidR="00A43A77" w:rsidRDefault="00A43A77" w:rsidP="00A43A77">
      <w:pPr>
        <w:pStyle w:val="ad"/>
        <w:spacing w:line="360" w:lineRule="auto"/>
        <w:jc w:val="both"/>
        <w:rPr>
          <w:rFonts w:ascii="David" w:eastAsia="Calibri" w:hAnsi="David"/>
          <w:rtl/>
        </w:rPr>
      </w:pPr>
    </w:p>
    <w:p w:rsidR="00A43A77" w:rsidRDefault="00A43A77" w:rsidP="00A43A77">
      <w:pPr>
        <w:spacing w:line="360" w:lineRule="auto"/>
        <w:ind w:left="360"/>
        <w:jc w:val="both"/>
        <w:rPr>
          <w:rFonts w:ascii="David" w:eastAsia="Calibri" w:hAnsi="David"/>
          <w:rtl/>
        </w:rPr>
      </w:pPr>
      <w:r>
        <w:rPr>
          <w:rFonts w:ascii="Arial" w:eastAsia="Calibri" w:hAnsi="Arial"/>
          <w:b/>
          <w:bCs/>
          <w:u w:val="single"/>
          <w:rtl/>
        </w:rPr>
        <w:t>שכה"ט צריך להיגזר בגין עבודת כונס הנכסים בחלקם של המוכרים, ולא בחלקם של הקונים</w:t>
      </w:r>
    </w:p>
    <w:p w:rsidR="00450C08" w:rsidRDefault="00450C08" w:rsidP="00A43A77">
      <w:pPr>
        <w:spacing w:line="360" w:lineRule="auto"/>
        <w:ind w:left="360"/>
        <w:jc w:val="both"/>
        <w:rPr>
          <w:rFonts w:ascii="David" w:eastAsia="Calibri" w:hAnsi="David"/>
          <w:rtl/>
        </w:rPr>
      </w:pPr>
    </w:p>
    <w:p w:rsidR="00A43A77" w:rsidRDefault="004F1E31" w:rsidP="004F1E3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eastAsia="Calibri" w:hAnsi="Arial"/>
          <w:rtl/>
        </w:rPr>
      </w:pPr>
      <w:r>
        <w:rPr>
          <w:rFonts w:ascii="Arial" w:eastAsia="Calibri" w:hAnsi="Arial" w:hint="cs"/>
          <w:rtl/>
        </w:rPr>
        <w:t>טענה זו איננה מחזיקה מים</w:t>
      </w:r>
      <w:r w:rsidR="00A43A77">
        <w:rPr>
          <w:rFonts w:ascii="Arial" w:eastAsia="Calibri" w:hAnsi="Arial"/>
          <w:rtl/>
        </w:rPr>
        <w:t xml:space="preserve">, שכן כונס הנכסים אמור לטפל </w:t>
      </w:r>
      <w:r w:rsidR="00A43A77" w:rsidRPr="00450C08">
        <w:rPr>
          <w:rFonts w:ascii="Arial" w:eastAsia="Calibri" w:hAnsi="Arial"/>
          <w:u w:val="single"/>
          <w:rtl/>
        </w:rPr>
        <w:t>בכל העבודה הקשורה למכירת הנכס</w:t>
      </w:r>
      <w:r w:rsidR="00A43A77">
        <w:rPr>
          <w:rFonts w:ascii="Arial" w:eastAsia="Calibri" w:hAnsi="Arial"/>
          <w:rtl/>
        </w:rPr>
        <w:t xml:space="preserve">, </w:t>
      </w:r>
      <w:r w:rsidR="00A43A77" w:rsidRPr="00450C08">
        <w:rPr>
          <w:rFonts w:ascii="Arial" w:eastAsia="Calibri" w:hAnsi="Arial"/>
          <w:b/>
          <w:bCs/>
          <w:rtl/>
        </w:rPr>
        <w:t xml:space="preserve">ללא כל </w:t>
      </w:r>
      <w:r w:rsidR="00450C08" w:rsidRPr="00450C08">
        <w:rPr>
          <w:rFonts w:ascii="Arial" w:eastAsia="Calibri" w:hAnsi="Arial" w:hint="cs"/>
          <w:b/>
          <w:bCs/>
          <w:rtl/>
        </w:rPr>
        <w:t>"</w:t>
      </w:r>
      <w:r w:rsidR="00A43A77" w:rsidRPr="00450C08">
        <w:rPr>
          <w:rFonts w:ascii="Arial" w:eastAsia="Calibri" w:hAnsi="Arial"/>
          <w:b/>
          <w:bCs/>
          <w:rtl/>
        </w:rPr>
        <w:t>חלוקה</w:t>
      </w:r>
      <w:r w:rsidR="00450C08" w:rsidRPr="00450C08">
        <w:rPr>
          <w:rFonts w:ascii="Arial" w:eastAsia="Calibri" w:hAnsi="Arial" w:hint="cs"/>
          <w:b/>
          <w:bCs/>
          <w:rtl/>
        </w:rPr>
        <w:t>"</w:t>
      </w:r>
      <w:r w:rsidR="00A43A77" w:rsidRPr="00450C08">
        <w:rPr>
          <w:rFonts w:ascii="Arial" w:eastAsia="Calibri" w:hAnsi="Arial"/>
          <w:b/>
          <w:bCs/>
          <w:rtl/>
        </w:rPr>
        <w:t xml:space="preserve"> בין מוכר לקונה</w:t>
      </w:r>
      <w:r w:rsidR="00A43A77">
        <w:rPr>
          <w:rFonts w:ascii="Arial" w:eastAsia="Calibri" w:hAnsi="Arial"/>
          <w:rtl/>
        </w:rPr>
        <w:t xml:space="preserve">. מכאן גם נגזרות חובותיו של כונס הנכסים, הן כלפי המוכר והן כלפי הקונה. כונס הנכסים איננו עובד "בשביל הקונה" </w:t>
      </w:r>
      <w:r w:rsidR="00A43A77" w:rsidRPr="00450C08">
        <w:rPr>
          <w:rFonts w:ascii="Arial" w:eastAsia="Calibri" w:hAnsi="Arial"/>
          <w:b/>
          <w:bCs/>
          <w:rtl/>
        </w:rPr>
        <w:t>אלא "בשביל הנכס"</w:t>
      </w:r>
      <w:r w:rsidR="00A43A77">
        <w:rPr>
          <w:rFonts w:ascii="Arial" w:eastAsia="Calibri" w:hAnsi="Arial"/>
          <w:rtl/>
        </w:rPr>
        <w:t xml:space="preserve">. </w:t>
      </w:r>
    </w:p>
    <w:p w:rsidR="00A43A77" w:rsidRDefault="00A43A77" w:rsidP="004F1E31">
      <w:pPr>
        <w:pStyle w:val="ad"/>
        <w:spacing w:line="360" w:lineRule="auto"/>
        <w:jc w:val="both"/>
        <w:rPr>
          <w:rFonts w:ascii="Arial" w:eastAsia="Calibri" w:hAnsi="Arial"/>
        </w:rPr>
      </w:pPr>
      <w:r>
        <w:rPr>
          <w:rFonts w:ascii="Arial" w:eastAsia="Calibri" w:hAnsi="Arial"/>
          <w:rtl/>
        </w:rPr>
        <w:t>ואכן ב"כ המבקשים לא טרח להפנות אף לא לפסק דין אחד שבו בוצע</w:t>
      </w:r>
      <w:r w:rsidR="00450C08">
        <w:rPr>
          <w:rFonts w:ascii="Arial" w:eastAsia="Calibri" w:hAnsi="Arial" w:hint="cs"/>
          <w:rtl/>
        </w:rPr>
        <w:t>ה</w:t>
      </w:r>
      <w:r>
        <w:rPr>
          <w:rFonts w:ascii="Arial" w:eastAsia="Calibri" w:hAnsi="Arial"/>
          <w:rtl/>
        </w:rPr>
        <w:t xml:space="preserve"> הבחנה בשכרו של </w:t>
      </w:r>
      <w:r w:rsidR="004F1E31">
        <w:rPr>
          <w:rFonts w:ascii="Arial" w:eastAsia="Calibri" w:hAnsi="Arial" w:hint="cs"/>
          <w:rtl/>
        </w:rPr>
        <w:t>כונס נכסים</w:t>
      </w:r>
      <w:r>
        <w:rPr>
          <w:rFonts w:ascii="Arial" w:eastAsia="Calibri" w:hAnsi="Arial"/>
          <w:rtl/>
        </w:rPr>
        <w:t xml:space="preserve"> בין "מוכר" לבין "קונה". </w:t>
      </w:r>
    </w:p>
    <w:p w:rsidR="00A43A77" w:rsidRDefault="00A43A77" w:rsidP="00A43A77">
      <w:pPr>
        <w:spacing w:line="360" w:lineRule="auto"/>
        <w:jc w:val="both"/>
        <w:rPr>
          <w:rFonts w:ascii="Arial" w:eastAsia="Calibri" w:hAnsi="Arial"/>
        </w:rPr>
      </w:pPr>
    </w:p>
    <w:p w:rsidR="00A43A77" w:rsidRDefault="00A43A77" w:rsidP="00A43A77">
      <w:pPr>
        <w:spacing w:after="120" w:line="360" w:lineRule="auto"/>
        <w:jc w:val="both"/>
        <w:rPr>
          <w:rFonts w:ascii="David" w:hAnsi="David"/>
          <w:b/>
          <w:bCs/>
          <w:u w:val="single"/>
          <w:rtl/>
        </w:rPr>
      </w:pPr>
      <w:r>
        <w:rPr>
          <w:rFonts w:ascii="David" w:hAnsi="David"/>
          <w:b/>
          <w:bCs/>
          <w:u w:val="single"/>
          <w:rtl/>
        </w:rPr>
        <w:t>סוף דבר</w:t>
      </w:r>
    </w:p>
    <w:p w:rsidR="00A43A77" w:rsidRDefault="00A43A77" w:rsidP="00A43A77">
      <w:pPr>
        <w:spacing w:after="120" w:line="360" w:lineRule="auto"/>
        <w:jc w:val="both"/>
        <w:rPr>
          <w:rFonts w:ascii="David" w:hAnsi="David"/>
        </w:rPr>
      </w:pPr>
      <w:r>
        <w:rPr>
          <w:rFonts w:ascii="David" w:hAnsi="David"/>
          <w:b/>
          <w:bCs/>
          <w:rtl/>
        </w:rPr>
        <w:t>לאור כל האמור לעיל אני מורה על דחיית בקשת רשות הערעור.</w:t>
      </w:r>
    </w:p>
    <w:p w:rsidR="00513515" w:rsidRDefault="00A43A77" w:rsidP="00A43A77">
      <w:pPr>
        <w:spacing w:after="120" w:line="360" w:lineRule="auto"/>
        <w:jc w:val="both"/>
        <w:rPr>
          <w:rFonts w:ascii="David" w:eastAsia="Calibri" w:hAnsi="David"/>
          <w:rtl/>
        </w:rPr>
      </w:pPr>
      <w:r>
        <w:rPr>
          <w:rFonts w:ascii="David" w:eastAsia="Calibri" w:hAnsi="David"/>
          <w:rtl/>
        </w:rPr>
        <w:t xml:space="preserve">משלא נדרשה תשובת המשיבים, אין צו להוצאות כלפי המשיבים. </w:t>
      </w:r>
    </w:p>
    <w:p w:rsidR="00A43A77" w:rsidRDefault="00A43A77" w:rsidP="00513515">
      <w:pPr>
        <w:spacing w:after="120" w:line="360" w:lineRule="auto"/>
        <w:jc w:val="both"/>
        <w:rPr>
          <w:rFonts w:ascii="David" w:eastAsia="Calibri" w:hAnsi="David"/>
          <w:rtl/>
        </w:rPr>
      </w:pPr>
      <w:r>
        <w:rPr>
          <w:rFonts w:ascii="David" w:eastAsia="Calibri" w:hAnsi="David"/>
          <w:rtl/>
        </w:rPr>
        <w:t xml:space="preserve">ברם בגין טענות הסרק (סעיפים 7-8 לעיל) מצאתי לנכון לחייב את המבקשים בהוצאות לטובת אוצר המדינה בסך של 1,000 ₪ בגין כל טענת סרק, ובסה"כ </w:t>
      </w:r>
      <w:r w:rsidR="00513515">
        <w:rPr>
          <w:rFonts w:ascii="David" w:eastAsia="Calibri" w:hAnsi="David" w:hint="cs"/>
          <w:rtl/>
        </w:rPr>
        <w:t>ב-</w:t>
      </w:r>
      <w:r>
        <w:rPr>
          <w:rFonts w:ascii="David" w:eastAsia="Calibri" w:hAnsi="David"/>
          <w:rtl/>
        </w:rPr>
        <w:t>2,000 ₪ לטובת אוצר המדינה, אשר ישולמו מתוך העירבון אשר הופקד והיתרה תוחזר למפקיד באמצעות בא כוחו.</w:t>
      </w:r>
    </w:p>
    <w:p w:rsidR="00A43A77" w:rsidRDefault="00A43A77" w:rsidP="00A43A77">
      <w:pPr>
        <w:spacing w:after="120" w:line="360" w:lineRule="auto"/>
        <w:jc w:val="both"/>
        <w:rPr>
          <w:rFonts w:ascii="David" w:eastAsia="Calibri" w:hAnsi="David"/>
          <w:u w:val="single"/>
          <w:rtl/>
        </w:rPr>
      </w:pPr>
    </w:p>
    <w:p w:rsidR="00A43A77" w:rsidRDefault="00A43A77" w:rsidP="00A43A77">
      <w:pPr>
        <w:spacing w:after="120" w:line="360" w:lineRule="auto"/>
        <w:jc w:val="both"/>
        <w:rPr>
          <w:rFonts w:ascii="David" w:eastAsia="Calibri" w:hAnsi="David"/>
          <w:u w:val="single"/>
          <w:rtl/>
        </w:rPr>
      </w:pPr>
      <w:r>
        <w:rPr>
          <w:rFonts w:ascii="David" w:eastAsia="Calibri" w:hAnsi="David"/>
          <w:u w:val="single"/>
          <w:rtl/>
        </w:rPr>
        <w:t>פסק דין זה מותר לפרסום בהשמטת שמות הצדדים וכל פרט מזהה אחר.</w:t>
      </w:r>
    </w:p>
    <w:p w:rsidR="00A43A77" w:rsidRDefault="00A43A77" w:rsidP="00A43A77">
      <w:pPr>
        <w:rPr>
          <w:noProof w:val="0"/>
        </w:rPr>
      </w:pPr>
    </w:p>
    <w:p w:rsidR="00694556" w:rsidRPr="00B95D6E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B95D6E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כ"ח סיוון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04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8C5985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963882205"/>
        </w:sdtPr>
        <w:sdtEndPr/>
        <w:sdtContent>
          <w:r w:rsidR="000C7BED">
            <w:drawing>
              <wp:inline distT="0" distB="0" distL="0" distR="0" wp14:editId="50D07946">
                <wp:extent cx="1085850" cy="12096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1209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D421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800" w:bottom="709" w:left="1800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985" w:rsidRDefault="008C5985">
      <w:r>
        <w:separator/>
      </w:r>
    </w:p>
  </w:endnote>
  <w:endnote w:type="continuationSeparator" w:id="0">
    <w:p w:rsidR="008C5985" w:rsidRDefault="008C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B6" w:rsidRDefault="00802FB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E765F7" w:rsidRDefault="000C3B60">
    <w:pPr>
      <w:pStyle w:val="a4"/>
      <w:jc w:val="center"/>
      <w:rPr>
        <w:rStyle w:val="ab"/>
        <w:rFonts w:ascii="David" w:hAnsi="David"/>
      </w:rPr>
    </w:pPr>
    <w:r w:rsidRPr="00E765F7">
      <w:rPr>
        <w:rStyle w:val="ab"/>
        <w:rFonts w:ascii="David" w:hAnsi="David"/>
      </w:rPr>
      <w:fldChar w:fldCharType="begin"/>
    </w:r>
    <w:r w:rsidR="00005C8B" w:rsidRPr="00E765F7">
      <w:rPr>
        <w:rStyle w:val="ab"/>
        <w:rFonts w:ascii="David" w:hAnsi="David"/>
      </w:rPr>
      <w:instrText xml:space="preserve"> PAGE </w:instrText>
    </w:r>
    <w:r w:rsidRPr="00E765F7">
      <w:rPr>
        <w:rStyle w:val="ab"/>
        <w:rFonts w:ascii="David" w:hAnsi="David"/>
      </w:rPr>
      <w:fldChar w:fldCharType="separate"/>
    </w:r>
    <w:r w:rsidR="00802FB6">
      <w:rPr>
        <w:rStyle w:val="ab"/>
        <w:rFonts w:ascii="David" w:hAnsi="David"/>
        <w:rtl/>
      </w:rPr>
      <w:t>1</w:t>
    </w:r>
    <w:r w:rsidRPr="00E765F7">
      <w:rPr>
        <w:rStyle w:val="ab"/>
        <w:rFonts w:ascii="David" w:hAnsi="David"/>
      </w:rPr>
      <w:fldChar w:fldCharType="end"/>
    </w:r>
    <w:r w:rsidR="00005C8B" w:rsidRPr="00E765F7">
      <w:rPr>
        <w:rStyle w:val="ab"/>
        <w:rFonts w:ascii="David" w:hAnsi="David"/>
        <w:rtl/>
      </w:rPr>
      <w:t xml:space="preserve"> מתוך </w:t>
    </w:r>
    <w:r w:rsidRPr="00E765F7">
      <w:rPr>
        <w:rStyle w:val="ab"/>
        <w:rFonts w:ascii="David" w:hAnsi="David"/>
      </w:rPr>
      <w:fldChar w:fldCharType="begin"/>
    </w:r>
    <w:r w:rsidR="00005C8B" w:rsidRPr="00E765F7">
      <w:rPr>
        <w:rStyle w:val="ab"/>
        <w:rFonts w:ascii="David" w:hAnsi="David"/>
      </w:rPr>
      <w:instrText xml:space="preserve"> NUMPAGES </w:instrText>
    </w:r>
    <w:r w:rsidRPr="00E765F7">
      <w:rPr>
        <w:rStyle w:val="ab"/>
        <w:rFonts w:ascii="David" w:hAnsi="David"/>
      </w:rPr>
      <w:fldChar w:fldCharType="separate"/>
    </w:r>
    <w:r w:rsidR="00802FB6">
      <w:rPr>
        <w:rStyle w:val="ab"/>
        <w:rFonts w:ascii="David" w:hAnsi="David"/>
        <w:rtl/>
      </w:rPr>
      <w:t>8</w:t>
    </w:r>
    <w:r w:rsidRPr="00E765F7">
      <w:rPr>
        <w:rStyle w:val="ab"/>
        <w:rFonts w:ascii="David" w:hAnsi="David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B6" w:rsidRDefault="00802FB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985" w:rsidRDefault="008C5985">
      <w:r>
        <w:separator/>
      </w:r>
    </w:p>
  </w:footnote>
  <w:footnote w:type="continuationSeparator" w:id="0">
    <w:p w:rsidR="008C5985" w:rsidRDefault="008C5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B6" w:rsidRDefault="00802F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7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1"/>
      <w:gridCol w:w="3496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9A3022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ביהמ"ש</w:t>
              </w:r>
              <w:r w:rsidR="003D1C8C"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 xml:space="preserve"> המחוזי בחיפה בשבתו כבית-משפט לערעורים אזרחיים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8D10B2" w:rsidRPr="00E1068A" w:rsidRDefault="008C5985" w:rsidP="00C239B8">
          <w:pPr>
            <w:rPr>
              <w:sz w:val="20"/>
              <w:szCs w:val="20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E765F7">
                <w:rPr>
                  <w:b/>
                  <w:bCs/>
                  <w:noProof w:val="0"/>
                  <w:sz w:val="26"/>
                  <w:szCs w:val="26"/>
                  <w:rtl/>
                </w:rPr>
                <w:t>רמ"ש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E765F7">
                <w:rPr>
                  <w:b/>
                  <w:bCs/>
                  <w:noProof w:val="0"/>
                  <w:sz w:val="26"/>
                  <w:szCs w:val="26"/>
                  <w:rtl/>
                </w:rPr>
                <w:t>7501-07-24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3154"/>
              <w:tag w:val="3154"/>
              <w:id w:val="-1714497037"/>
              <w:placeholder>
                <w:docPart w:val="4672CCA166BA4F0A892EB1D7BA0002CB"/>
              </w:placeholder>
              <w:text w:multiLine="1"/>
            </w:sdtPr>
            <w:sdtEndPr/>
            <w:sdtContent>
              <w:r w:rsidR="00C239B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</w:t>
              </w:r>
              <w:r w:rsidR="007E472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E765F7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 נ' </w:t>
              </w:r>
              <w:r w:rsidR="007E472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ש' ואח'</w:t>
              </w:r>
              <w:r w:rsidR="00E765F7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- כונס נכסים ואח'</w:t>
              </w:r>
            </w:sdtContent>
          </w:sdt>
          <w:r w:rsidR="00CD516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r w:rsidR="007D45E3">
            <w:rPr>
              <w:rFonts w:hint="cs"/>
              <w:rtl/>
            </w:rPr>
            <w:t xml:space="preserve">                        </w:t>
          </w:r>
          <w:r w:rsidR="007D45E3"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B6" w:rsidRDefault="00802F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E3326"/>
    <w:multiLevelType w:val="hybridMultilevel"/>
    <w:tmpl w:val="95AEA3FA"/>
    <w:lvl w:ilvl="0" w:tplc="F97CB014">
      <w:start w:val="1"/>
      <w:numFmt w:val="hebrew1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E84081"/>
    <w:multiLevelType w:val="hybridMultilevel"/>
    <w:tmpl w:val="EF2614C0"/>
    <w:lvl w:ilvl="0" w:tplc="926470F8">
      <w:start w:val="1"/>
      <w:numFmt w:val="hebrew1"/>
      <w:lvlText w:val="%1."/>
      <w:lvlJc w:val="left"/>
      <w:pPr>
        <w:ind w:left="1080" w:hanging="360"/>
      </w:pPr>
      <w:rPr>
        <w:rFonts w:ascii="David" w:hAnsi="David" w:cs="David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990FCC"/>
    <w:multiLevelType w:val="hybridMultilevel"/>
    <w:tmpl w:val="3BBE4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36365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363654&amp;lt;/CaseID&amp;gt;_x000d__x000a_        &amp;lt;CaseMonth&amp;gt;7&amp;lt;/CaseMonth&amp;gt;_x000d__x000a_        &amp;lt;CaseYear&amp;gt;2024&amp;lt;/CaseYear&amp;gt;_x000d__x000a_        &amp;lt;CaseNumber&amp;gt;7501&amp;lt;/CaseNumber&amp;gt;_x000d__x000a_        &amp;lt;NumeratorGroupID&amp;gt;1&amp;lt;/NumeratorGroupID&amp;gt;_x000d__x000a_        &amp;lt;CaseName&amp;gt;בירן ואח&amp;#39; נ&amp;#39; באשי - כונס נכסים ואח&amp;#39;&amp;lt;/CaseName&amp;gt;_x000d__x000a_        &amp;lt;CourtID&amp;gt;13&amp;lt;/CourtID&amp;gt;_x000d__x000a_        &amp;lt;CaseTypeID&amp;gt;10074&amp;lt;/CaseTypeID&amp;gt;_x000d__x000a_        &amp;lt;CaseInterestID&amp;gt;101&amp;lt;/CaseInterestID&amp;gt;_x000d__x000a_        &amp;lt;CaseJudgeName&amp;gt;אריה נאמן&amp;lt;/CaseJudgeName&amp;gt;_x000d__x000a_        &amp;lt;CaseLinkTypeID&amp;gt;7&amp;lt;/CaseLinkTypeID&amp;gt;_x000d__x000a_        &amp;lt;ProcedureID&amp;gt;1&amp;lt;/ProcedureID&amp;gt;_x000d__x000a_        &amp;lt;CaseStatusID&amp;gt;1&amp;lt;/CaseStatusID&amp;gt;_x000d__x000a_        &amp;lt;ProceedingID&amp;gt;14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7501-07-24&amp;lt;/CaseDisplayIdentifier&amp;gt;_x000d__x000a_        &amp;lt;CaseTypeDesc&amp;gt;רמ&amp;quot;ש&amp;lt;/CaseTypeDesc&amp;gt;_x000d__x000a_        &amp;lt;CourtDesc&amp;gt;המחוזי חיפה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51&amp;lt;/CaseNextDeterminingTask&amp;gt;_x000d__x000a_        &amp;lt;CaseOpenDate&amp;gt;2024-07-02T14:41:00+03:00&amp;lt;/CaseOpenDate&amp;gt;_x000d__x000a_        &amp;lt;PleaTypeID&amp;gt;5&amp;lt;/PleaTypeID&amp;gt;_x000d__x000a_        &amp;lt;CourtLevelID&amp;gt;2&amp;lt;/CourtLevelID&amp;gt;_x000d__x000a_        &amp;lt;CourtLevelCaseTypeInterestID&amp;gt;419&amp;lt;/CourtLevelCaseTypeInterestID&amp;gt;_x000d__x000a_        &amp;lt;CaseJudgeFirstName&amp;gt;אריה&amp;lt;/CaseJudgeFirstName&amp;gt;_x000d__x000a_        &amp;lt;CaseJudgeLastName&amp;gt;נאמן&amp;lt;/CaseJudgeLastName&amp;gt;_x000d__x000a_        &amp;lt;JudicalPersonID&amp;gt;058677980@GOV.IL&amp;lt;/JudicalPersonID&amp;gt;_x000d__x000a_        &amp;lt;IsJudicalPanel&amp;gt;false&amp;lt;/IsJudicalPanel&amp;gt;_x000d__x000a_        &amp;lt;CourtDisplayName&amp;gt;בית המשפט המחוזי בחיפה בשבתו כבית-משפט לערעורים אזרחיים&amp;lt;/CourtDisplayName&amp;gt;_x000d__x000a_        &amp;lt;IsAllStartDataCollected&amp;gt;true&amp;lt;/IsAllStartDataCollected&amp;gt;_x000d__x000a_        &amp;lt;IsMainCase&amp;gt;true&amp;lt;/IsMainCase&amp;gt;_x000d__x000a_        &amp;lt;CaseDesc&amp;gt;תיק במקום &amp;lt;/CaseDesc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tru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363654&amp;lt;/CaseID&amp;gt;_x000d__x000a_        &amp;lt;CaseMonth&amp;gt;7&amp;lt;/CaseMonth&amp;gt;_x000d__x000a_        &amp;lt;CaseYear&amp;gt;2024&amp;lt;/CaseYear&amp;gt;_x000d__x000a_        &amp;lt;CaseNumber&amp;gt;7501&amp;lt;/CaseNumber&amp;gt;_x000d__x000a_        &amp;lt;NumeratorGroupID&amp;gt;1&amp;lt;/NumeratorGroupID&amp;gt;_x000d__x000a_        &amp;lt;CaseName&amp;gt;בירן ואח&amp;#39; נ&amp;#39; באשי - כונס נכסים ואח&amp;#39;&amp;lt;/CaseName&amp;gt;_x000d__x000a_        &amp;lt;CourtID&amp;gt;13&amp;lt;/CourtID&amp;gt;_x000d__x000a_        &amp;lt;CaseTypeID&amp;gt;10074&amp;lt;/CaseTypeID&amp;gt;_x000d__x000a_        &amp;lt;CaseInterestID&amp;gt;101&amp;lt;/CaseInterestID&amp;gt;_x000d__x000a_        &amp;lt;CaseJudgeName&amp;gt;אריה נאמן&amp;lt;/CaseJudgeName&amp;gt;_x000d__x000a_        &amp;lt;CaseLinkTypeID&amp;gt;7&amp;lt;/CaseLinkTypeID&amp;gt;_x000d__x000a_        &amp;lt;ProcedureID&amp;gt;1&amp;lt;/ProcedureID&amp;gt;_x000d__x000a_        &amp;lt;CaseStatusID&amp;gt;1&amp;lt;/CaseStatusID&amp;gt;_x000d__x000a_        &amp;lt;ProceedingID&amp;gt;14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7501-07-24&amp;lt;/CaseDisplayIdentifier&amp;gt;_x000d__x000a_        &amp;lt;CaseTypeDesc&amp;gt;רמ&amp;quot;ש&amp;lt;/CaseTypeDesc&amp;gt;_x000d__x000a_        &amp;lt;CourtDesc&amp;gt;המחוזי חיפה&amp;lt;/CourtDesc&amp;gt;_x000d__x000a_        &amp;lt;CaseStageDesc&amp;gt;תיק אלקטרוני&amp;lt;/CaseStageDesc&amp;gt;_x000d__x000a_        &amp;lt;CaseNextDeterminingTask&amp;gt;151&amp;lt;/CaseNextDeterminingTask&amp;gt;_x000d__x000a_        &amp;lt;CaseOpenDate&amp;gt;2024-07-02T14:41:00+03:00&amp;lt;/CaseOpenDate&amp;gt;_x000d__x000a_        &amp;lt;PleaTypeID&amp;gt;5&amp;lt;/PleaTypeID&amp;gt;_x000d__x000a_        &amp;lt;CourtLevelID&amp;gt;2&amp;lt;/CourtLevelID&amp;gt;_x000d__x000a_        &amp;lt;CourtLevelCaseTypeInterestID&amp;gt;419&amp;lt;/CourtLevelCaseTypeInterestID&amp;gt;_x000d__x000a_        &amp;lt;CaseJudgeFirstName&amp;gt;אריה&amp;lt;/CaseJudgeFirstName&amp;gt;_x000d__x000a_        &amp;lt;CaseJudgeLastName&amp;gt;נאמן&amp;lt;/CaseJudgeLastName&amp;gt;_x000d__x000a_        &amp;lt;JudicalPersonID&amp;gt;058677980@GOV.IL&amp;lt;/JudicalPersonID&amp;gt;_x000d__x000a_        &amp;lt;IsJudicalPanel&amp;gt;false&amp;lt;/IsJudicalPanel&amp;gt;_x000d__x000a_        &amp;lt;CourtDisplayName&amp;gt;בית המשפט המחוזי בחיפה בשבתו כבית-משפט לערעורים אזרחיים&amp;lt;/CourtDisplayName&amp;gt;_x000d__x000a_        &amp;lt;IsAllStartDataCollected&amp;gt;true&amp;lt;/IsAllStartDataCollected&amp;gt;_x000d__x000a_        &amp;lt;IsMainCase&amp;gt;true&amp;lt;/IsMainCase&amp;gt;_x000d__x000a_        &amp;lt;CaseDesc&amp;gt;תיק במקום &amp;lt;/CaseDesc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1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2634561&amp;lt;/DecisionID&amp;gt;_x000d__x000a_        &amp;lt;DecisionName&amp;gt;החלטה  שניתנה ע&amp;quot;י  אריה נאמן&amp;lt;/DecisionName&amp;gt;_x000d__x000a_        &amp;lt;DecisionStatusID&amp;gt;1&amp;lt;/DecisionStatusID&amp;gt;_x000d__x000a_        &amp;lt;DecisionStatusChangeDate&amp;gt;2024-07-03T17:01:31.537+03:00&amp;lt;/DecisionStatusChangeDate&amp;gt;_x000d__x000a_        &amp;lt;DecisionSignatureDate&amp;gt;2024-07-03T15:46:34.243+03:00&amp;lt;/DecisionSignatureDate&amp;gt;_x000d__x000a_        &amp;lt;DecisionSignatureUserID&amp;gt;058677980@GOV.IL&amp;lt;/DecisionSignatureUserID&amp;gt;_x000d__x000a_        &amp;lt;DecisionCreateDate&amp;gt;2024-07-03T15:48:45.527+03:00&amp;lt;/DecisionCreateDate&amp;gt;_x000d__x000a_        &amp;lt;DecisionChangeDate&amp;gt;2024-07-03T17:01:31.697+03:00&amp;lt;/DecisionChangeDate&amp;gt;_x000d__x000a_        &amp;lt;DecisionChangeUserID&amp;gt;0586779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47726735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6779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58677980@GOV.IL&amp;lt;/DecisionCreationUserID&amp;gt;_x000d__x000a_        &amp;lt;DecisionDisplayName&amp;gt;החלטה  שניתנה ע&amp;quot;י  אריה נאמן&amp;lt;/DecisionDisplayName&amp;gt;_x000d__x000a_        &amp;lt;IsScanned&amp;gt;false&amp;lt;/IsScanned&amp;gt;_x000d__x000a_        &amp;lt;DecisionSignatureUserName&amp;gt;אריה נאמ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4&amp;lt;/DecisionNumberInCase&amp;gt;_x000d__x000a_      &amp;lt;/dt_Decision&amp;gt;_x000d__x000a_      &amp;lt;dt_DecisionCase diffgr:id=&amp;quot;dt_DecisionCase1&amp;quot; msdata:rowOrder=&amp;quot;0&amp;quot;&amp;gt;_x000d__x000a_        &amp;lt;DecisionID&amp;gt;152634561&amp;lt;/DecisionID&amp;gt;_x000d__x000a_        &amp;lt;CaseID&amp;gt;81363654&amp;lt;/CaseID&amp;gt;_x000d__x000a_        &amp;lt;IsOriginal&amp;gt;true&amp;lt;/IsOriginal&amp;gt;_x000d__x000a_        &amp;lt;IsDeleted&amp;gt;false&amp;lt;/IsDeleted&amp;gt;_x000d__x000a_        &amp;lt;CaseName&amp;gt;בירן ואח&amp;#39; נ&amp;#39; באשי - כונס נכסים ואח&amp;#39;&amp;lt;/CaseName&amp;gt;_x000d__x000a_        &amp;lt;CaseDisplayIdentifier&amp;gt;7501-07-24 רמ&amp;quot;ש&amp;lt;/CaseDisplayIdentifier&amp;gt;_x000d__x000a_      &amp;lt;/dt_DecisionCase&amp;gt;_x000d__x000a_    &amp;lt;/DecisionDS&amp;gt;_x000d__x000a_  &amp;lt;/diffgr:diffgram&amp;gt;_x000d__x000a_&amp;lt;/DecisionDS&amp;gt;"/>
    <w:docVar w:name="DecisionID" w:val="152634561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07DE0"/>
    <w:rsid w:val="000346CC"/>
    <w:rsid w:val="00034D74"/>
    <w:rsid w:val="000529D2"/>
    <w:rsid w:val="000564AB"/>
    <w:rsid w:val="00064FBD"/>
    <w:rsid w:val="00082AB2"/>
    <w:rsid w:val="000906FE"/>
    <w:rsid w:val="00096AF7"/>
    <w:rsid w:val="000B344B"/>
    <w:rsid w:val="000C03C9"/>
    <w:rsid w:val="000C3B0F"/>
    <w:rsid w:val="000C3B60"/>
    <w:rsid w:val="000C7BED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18D3"/>
    <w:rsid w:val="001E75CA"/>
    <w:rsid w:val="002265FF"/>
    <w:rsid w:val="00235B97"/>
    <w:rsid w:val="00271B56"/>
    <w:rsid w:val="002A1624"/>
    <w:rsid w:val="002C344E"/>
    <w:rsid w:val="002E75E9"/>
    <w:rsid w:val="002F0B1E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B3CC8"/>
    <w:rsid w:val="003B3E8D"/>
    <w:rsid w:val="003C5FF6"/>
    <w:rsid w:val="003D1C8C"/>
    <w:rsid w:val="003E241B"/>
    <w:rsid w:val="0040096C"/>
    <w:rsid w:val="00411601"/>
    <w:rsid w:val="00414F1F"/>
    <w:rsid w:val="0043125D"/>
    <w:rsid w:val="0043502B"/>
    <w:rsid w:val="004443AC"/>
    <w:rsid w:val="00444B02"/>
    <w:rsid w:val="00450C08"/>
    <w:rsid w:val="00451E28"/>
    <w:rsid w:val="004549C7"/>
    <w:rsid w:val="00462C62"/>
    <w:rsid w:val="00465D36"/>
    <w:rsid w:val="00477DEE"/>
    <w:rsid w:val="00493A11"/>
    <w:rsid w:val="004C17EE"/>
    <w:rsid w:val="004C4BDF"/>
    <w:rsid w:val="004D1187"/>
    <w:rsid w:val="004D3AA0"/>
    <w:rsid w:val="004E1987"/>
    <w:rsid w:val="004E2E15"/>
    <w:rsid w:val="004E6E3C"/>
    <w:rsid w:val="004F1E31"/>
    <w:rsid w:val="00511B90"/>
    <w:rsid w:val="00513515"/>
    <w:rsid w:val="00520898"/>
    <w:rsid w:val="00523621"/>
    <w:rsid w:val="00524986"/>
    <w:rsid w:val="005268F6"/>
    <w:rsid w:val="00534284"/>
    <w:rsid w:val="00547DB7"/>
    <w:rsid w:val="00557021"/>
    <w:rsid w:val="005C0627"/>
    <w:rsid w:val="005F4F09"/>
    <w:rsid w:val="0061431B"/>
    <w:rsid w:val="00622BAA"/>
    <w:rsid w:val="006306CF"/>
    <w:rsid w:val="006318D8"/>
    <w:rsid w:val="00643CE5"/>
    <w:rsid w:val="00644E9A"/>
    <w:rsid w:val="00671BD5"/>
    <w:rsid w:val="006805C1"/>
    <w:rsid w:val="00686C21"/>
    <w:rsid w:val="006931C1"/>
    <w:rsid w:val="00694556"/>
    <w:rsid w:val="006B35BD"/>
    <w:rsid w:val="006B7258"/>
    <w:rsid w:val="006C30C5"/>
    <w:rsid w:val="006D3B31"/>
    <w:rsid w:val="006E0D96"/>
    <w:rsid w:val="006E1A53"/>
    <w:rsid w:val="006E427D"/>
    <w:rsid w:val="006F56E6"/>
    <w:rsid w:val="00704EDA"/>
    <w:rsid w:val="0071062F"/>
    <w:rsid w:val="00721122"/>
    <w:rsid w:val="00734689"/>
    <w:rsid w:val="00753019"/>
    <w:rsid w:val="00754801"/>
    <w:rsid w:val="00761441"/>
    <w:rsid w:val="0078025B"/>
    <w:rsid w:val="00795365"/>
    <w:rsid w:val="007A351D"/>
    <w:rsid w:val="007B7765"/>
    <w:rsid w:val="007C5BDD"/>
    <w:rsid w:val="007D45E3"/>
    <w:rsid w:val="007E4725"/>
    <w:rsid w:val="007E6115"/>
    <w:rsid w:val="007F4609"/>
    <w:rsid w:val="00802FB6"/>
    <w:rsid w:val="00812781"/>
    <w:rsid w:val="00814468"/>
    <w:rsid w:val="008176A1"/>
    <w:rsid w:val="00820005"/>
    <w:rsid w:val="00841158"/>
    <w:rsid w:val="00844318"/>
    <w:rsid w:val="00851257"/>
    <w:rsid w:val="00863F5D"/>
    <w:rsid w:val="00870890"/>
    <w:rsid w:val="00873602"/>
    <w:rsid w:val="00874C9E"/>
    <w:rsid w:val="00875D12"/>
    <w:rsid w:val="0088479D"/>
    <w:rsid w:val="00891E56"/>
    <w:rsid w:val="00891F42"/>
    <w:rsid w:val="00896889"/>
    <w:rsid w:val="008A04B0"/>
    <w:rsid w:val="008A59EE"/>
    <w:rsid w:val="008A6E97"/>
    <w:rsid w:val="008C5714"/>
    <w:rsid w:val="008C5985"/>
    <w:rsid w:val="008D10B2"/>
    <w:rsid w:val="008F7B5E"/>
    <w:rsid w:val="00903896"/>
    <w:rsid w:val="00906F3D"/>
    <w:rsid w:val="0094424E"/>
    <w:rsid w:val="00955642"/>
    <w:rsid w:val="009622DF"/>
    <w:rsid w:val="0096493F"/>
    <w:rsid w:val="00967DFF"/>
    <w:rsid w:val="00971DF1"/>
    <w:rsid w:val="009777CA"/>
    <w:rsid w:val="00994341"/>
    <w:rsid w:val="009A3022"/>
    <w:rsid w:val="009D1A48"/>
    <w:rsid w:val="009E1CE7"/>
    <w:rsid w:val="009E4EA5"/>
    <w:rsid w:val="009F164B"/>
    <w:rsid w:val="009F323C"/>
    <w:rsid w:val="00A3392B"/>
    <w:rsid w:val="00A43A77"/>
    <w:rsid w:val="00A81988"/>
    <w:rsid w:val="00A85E34"/>
    <w:rsid w:val="00A87DF6"/>
    <w:rsid w:val="00A9144F"/>
    <w:rsid w:val="00A94B64"/>
    <w:rsid w:val="00AA3229"/>
    <w:rsid w:val="00AA7596"/>
    <w:rsid w:val="00AB5E52"/>
    <w:rsid w:val="00AC3B02"/>
    <w:rsid w:val="00AC3B7B"/>
    <w:rsid w:val="00AC5209"/>
    <w:rsid w:val="00AC5857"/>
    <w:rsid w:val="00AD1035"/>
    <w:rsid w:val="00AE0E34"/>
    <w:rsid w:val="00AE729E"/>
    <w:rsid w:val="00AE7752"/>
    <w:rsid w:val="00AF7FDA"/>
    <w:rsid w:val="00B5356E"/>
    <w:rsid w:val="00B62AD7"/>
    <w:rsid w:val="00B66717"/>
    <w:rsid w:val="00B809AD"/>
    <w:rsid w:val="00B80CBD"/>
    <w:rsid w:val="00B86096"/>
    <w:rsid w:val="00B95D6E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239B8"/>
    <w:rsid w:val="00C31120"/>
    <w:rsid w:val="00C34482"/>
    <w:rsid w:val="00C43648"/>
    <w:rsid w:val="00C50A9F"/>
    <w:rsid w:val="00C642FA"/>
    <w:rsid w:val="00CC7622"/>
    <w:rsid w:val="00CD516B"/>
    <w:rsid w:val="00CD608F"/>
    <w:rsid w:val="00CE0084"/>
    <w:rsid w:val="00CF6BB7"/>
    <w:rsid w:val="00D04AA4"/>
    <w:rsid w:val="00D27982"/>
    <w:rsid w:val="00D33B86"/>
    <w:rsid w:val="00D42186"/>
    <w:rsid w:val="00D44968"/>
    <w:rsid w:val="00D53924"/>
    <w:rsid w:val="00D55D0C"/>
    <w:rsid w:val="00D96D8C"/>
    <w:rsid w:val="00DA5140"/>
    <w:rsid w:val="00DA6649"/>
    <w:rsid w:val="00DB053E"/>
    <w:rsid w:val="00DC11C4"/>
    <w:rsid w:val="00DC1259"/>
    <w:rsid w:val="00DC1BD2"/>
    <w:rsid w:val="00DC2571"/>
    <w:rsid w:val="00DC487C"/>
    <w:rsid w:val="00DD4335"/>
    <w:rsid w:val="00DE1E7D"/>
    <w:rsid w:val="00DE6BF6"/>
    <w:rsid w:val="00E1068A"/>
    <w:rsid w:val="00E25884"/>
    <w:rsid w:val="00E25B55"/>
    <w:rsid w:val="00E31C2B"/>
    <w:rsid w:val="00E421A5"/>
    <w:rsid w:val="00E5426A"/>
    <w:rsid w:val="00E54642"/>
    <w:rsid w:val="00E765F7"/>
    <w:rsid w:val="00E80CBE"/>
    <w:rsid w:val="00E9269D"/>
    <w:rsid w:val="00E962E3"/>
    <w:rsid w:val="00EB49F3"/>
    <w:rsid w:val="00EB6C79"/>
    <w:rsid w:val="00EC37E9"/>
    <w:rsid w:val="00ED1929"/>
    <w:rsid w:val="00F038D8"/>
    <w:rsid w:val="00F06995"/>
    <w:rsid w:val="00F12D66"/>
    <w:rsid w:val="00F13623"/>
    <w:rsid w:val="00F44D1D"/>
    <w:rsid w:val="00F84B6D"/>
    <w:rsid w:val="00F957E8"/>
    <w:rsid w:val="00FA311A"/>
    <w:rsid w:val="00FA5FDA"/>
    <w:rsid w:val="00FA7FD0"/>
    <w:rsid w:val="00FB32F5"/>
    <w:rsid w:val="00FB6AB3"/>
    <w:rsid w:val="00FD1419"/>
    <w:rsid w:val="00FD79E4"/>
    <w:rsid w:val="00FE09EC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A43A77"/>
    <w:pPr>
      <w:ind w:left="720"/>
      <w:contextualSpacing/>
    </w:pPr>
    <w:rPr>
      <w:noProof w:val="0"/>
    </w:rPr>
  </w:style>
  <w:style w:type="character" w:styleId="Hyperlink">
    <w:name w:val="Hyperlink"/>
    <w:basedOn w:val="a0"/>
    <w:uiPriority w:val="99"/>
    <w:semiHidden/>
    <w:unhideWhenUsed/>
    <w:rsid w:val="0071062F"/>
    <w:rPr>
      <w:color w:val="0000FF"/>
      <w:u w:val="single"/>
    </w:rPr>
  </w:style>
  <w:style w:type="character" w:styleId="FollowedHyperlink">
    <w:name w:val="FollowedHyperlink"/>
    <w:basedOn w:val="a0"/>
    <w:semiHidden/>
    <w:unhideWhenUsed/>
    <w:rsid w:val="0071062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74356" w:rsidP="00A74356">
          <w:pPr>
            <w:pStyle w:val="E460D38E05664FF79D4EFF282EF8EC9931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4672CCA166BA4F0A892EB1D7BA0002C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79E5D01-60E2-4A15-822C-03D5E98865E0}"/>
      </w:docPartPr>
      <w:docPartBody>
        <w:p w:rsidR="00015B33" w:rsidRDefault="00A74356" w:rsidP="00A74356">
          <w:pPr>
            <w:pStyle w:val="4672CCA166BA4F0A892EB1D7BA0002CB6"/>
          </w:pPr>
          <w:r>
            <w:rPr>
              <w:b/>
              <w:bCs/>
              <w:noProof w:val="0"/>
              <w:sz w:val="26"/>
              <w:szCs w:val="26"/>
              <w:rtl/>
            </w:rPr>
            <w:t>שם תיק ללא שמות חסויים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15B33"/>
    <w:rsid w:val="00060CF6"/>
    <w:rsid w:val="000A4ACE"/>
    <w:rsid w:val="001A0763"/>
    <w:rsid w:val="002D02C4"/>
    <w:rsid w:val="002D09CE"/>
    <w:rsid w:val="00345C9D"/>
    <w:rsid w:val="0048651F"/>
    <w:rsid w:val="004B017A"/>
    <w:rsid w:val="005157ED"/>
    <w:rsid w:val="00556D67"/>
    <w:rsid w:val="00673B50"/>
    <w:rsid w:val="00793995"/>
    <w:rsid w:val="007C6F98"/>
    <w:rsid w:val="007E1E96"/>
    <w:rsid w:val="007E254A"/>
    <w:rsid w:val="008B4366"/>
    <w:rsid w:val="009133C7"/>
    <w:rsid w:val="009178E4"/>
    <w:rsid w:val="00961B27"/>
    <w:rsid w:val="009A36E7"/>
    <w:rsid w:val="00A74356"/>
    <w:rsid w:val="00AA7CE3"/>
    <w:rsid w:val="00B50DB2"/>
    <w:rsid w:val="00B72BC2"/>
    <w:rsid w:val="00B91FA3"/>
    <w:rsid w:val="00BD69D1"/>
    <w:rsid w:val="00BE6557"/>
    <w:rsid w:val="00C96C06"/>
    <w:rsid w:val="00D24521"/>
    <w:rsid w:val="00D6580E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74356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D2452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B50DB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6">
    <w:name w:val="361372C4DB7441E9BE125AC684A25A0C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6">
    <w:name w:val="B991E1A8405A4081916BCB7F7B4904F4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6">
    <w:name w:val="91567ABB6F614CDF8F211944D11D85576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4B017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7">
    <w:name w:val="361372C4DB7441E9BE125AC684A25A0C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7">
    <w:name w:val="B991E1A8405A4081916BCB7F7B4904F4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7">
    <w:name w:val="91567ABB6F614CDF8F211944D11D85577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9A36E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8">
    <w:name w:val="361372C4DB7441E9BE125AC684A25A0C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8">
    <w:name w:val="B991E1A8405A4081916BCB7F7B4904F4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8">
    <w:name w:val="91567ABB6F614CDF8F211944D11D85578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1A076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">
    <w:name w:val="1C8A38705F7143EA87FF3DEB2C34E7E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">
    <w:name w:val="4DC45A2FD697422FAA3CD896A84FA7B4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9">
    <w:name w:val="361372C4DB7441E9BE125AC684A25A0C9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">
    <w:name w:val="669229EF3E1344D9B4D94DA010C911A6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">
    <w:name w:val="4672CCA166BA4F0A892EB1D7BA0002CB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015B3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1">
    <w:name w:val="1C8A38705F7143EA87FF3DEB2C34E7E5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1">
    <w:name w:val="4DC45A2FD697422FAA3CD896A84FA7B4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914BFD656A845DF8D2F5A13664FF113">
    <w:name w:val="6914BFD656A845DF8D2F5A13664FF113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69229EF3E1344D9B4D94DA010C911A61">
    <w:name w:val="669229EF3E1344D9B4D94DA010C911A6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9D5AED9F504414081A1A9D7674A6049">
    <w:name w:val="09D5AED9F504414081A1A9D7674A604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4">
    <w:name w:val="E6E6A917CC5E4519A8F2E864C48E22F2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4">
    <w:name w:val="9DC4FF55E52B4E209349FC40470DD418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4">
    <w:name w:val="112E7BE5CCF64A68A3D497F283A4D69514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2">
    <w:name w:val="ECC435E5782A4F3FB39457279E24BE8812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1">
    <w:name w:val="4672CCA166BA4F0A892EB1D7BA0002CB1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9">
    <w:name w:val="D290653DA13E4E738B7E725F79D7332919"/>
    <w:rsid w:val="00B72BC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">
    <w:name w:val="610C6E051A88448494B3C30FBAD74773"/>
    <w:rsid w:val="00B72BC2"/>
    <w:pPr>
      <w:bidi/>
      <w:spacing w:after="160" w:line="259" w:lineRule="auto"/>
    </w:pPr>
  </w:style>
  <w:style w:type="paragraph" w:customStyle="1" w:styleId="E94836ADA6264C72A55F651E19C4C7A6">
    <w:name w:val="E94836ADA6264C72A55F651E19C4C7A6"/>
    <w:rsid w:val="00B72BC2"/>
    <w:pPr>
      <w:bidi/>
      <w:spacing w:after="160" w:line="259" w:lineRule="auto"/>
    </w:pPr>
  </w:style>
  <w:style w:type="paragraph" w:customStyle="1" w:styleId="1C8A38705F7143EA87FF3DEB2C34E7E52">
    <w:name w:val="1C8A38705F7143EA87FF3DEB2C34E7E5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2">
    <w:name w:val="4DC45A2FD697422FAA3CD896A84FA7B4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1">
    <w:name w:val="610C6E051A88448494B3C30FBAD74773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1">
    <w:name w:val="E94836ADA6264C72A55F651E19C4C7A61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5">
    <w:name w:val="E6E6A917CC5E4519A8F2E864C48E22F2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5">
    <w:name w:val="9DC4FF55E52B4E209349FC40470DD418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5">
    <w:name w:val="112E7BE5CCF64A68A3D497F283A4D69515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3">
    <w:name w:val="ECC435E5782A4F3FB39457279E24BE8813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7">
    <w:name w:val="E460D38E05664FF79D4EFF282EF8EC9927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2">
    <w:name w:val="4672CCA166BA4F0A892EB1D7BA0002CB2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0">
    <w:name w:val="D290653DA13E4E738B7E725F79D7332920"/>
    <w:rsid w:val="00D6580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3">
    <w:name w:val="1C8A38705F7143EA87FF3DEB2C34E7E5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3">
    <w:name w:val="4DC45A2FD697422FAA3CD896A84FA7B4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2">
    <w:name w:val="610C6E051A88448494B3C30FBAD74773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2">
    <w:name w:val="E94836ADA6264C72A55F651E19C4C7A62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6">
    <w:name w:val="E6E6A917CC5E4519A8F2E864C48E22F2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6">
    <w:name w:val="9DC4FF55E52B4E209349FC40470DD418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6">
    <w:name w:val="112E7BE5CCF64A68A3D497F283A4D69516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4">
    <w:name w:val="ECC435E5782A4F3FB39457279E24BE8814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8">
    <w:name w:val="E460D38E05664FF79D4EFF282EF8EC9928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3">
    <w:name w:val="4672CCA166BA4F0A892EB1D7BA0002CB3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1">
    <w:name w:val="D290653DA13E4E738B7E725F79D7332921"/>
    <w:rsid w:val="00673B5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4">
    <w:name w:val="1C8A38705F7143EA87FF3DEB2C34E7E5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4">
    <w:name w:val="4DC45A2FD697422FAA3CD896A84FA7B4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3">
    <w:name w:val="610C6E051A88448494B3C30FBAD74773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3">
    <w:name w:val="E94836ADA6264C72A55F651E19C4C7A63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7">
    <w:name w:val="E6E6A917CC5E4519A8F2E864C48E22F2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7">
    <w:name w:val="9DC4FF55E52B4E209349FC40470DD418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7">
    <w:name w:val="112E7BE5CCF64A68A3D497F283A4D69517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5">
    <w:name w:val="ECC435E5782A4F3FB39457279E24BE8815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9">
    <w:name w:val="E460D38E05664FF79D4EFF282EF8EC9929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4">
    <w:name w:val="4672CCA166BA4F0A892EB1D7BA0002CB4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2">
    <w:name w:val="D290653DA13E4E738B7E725F79D7332922"/>
    <w:rsid w:val="00BD69D1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5">
    <w:name w:val="1C8A38705F7143EA87FF3DEB2C34E7E5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5">
    <w:name w:val="4DC45A2FD697422FAA3CD896A84FA7B4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4">
    <w:name w:val="610C6E051A88448494B3C30FBAD747734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4">
    <w:name w:val="E94836ADA6264C72A55F651E19C4C7A64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8">
    <w:name w:val="E6E6A917CC5E4519A8F2E864C48E22F2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8">
    <w:name w:val="9DC4FF55E52B4E209349FC40470DD418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8">
    <w:name w:val="112E7BE5CCF64A68A3D497F283A4D69518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6">
    <w:name w:val="ECC435E5782A4F3FB39457279E24BE8816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0">
    <w:name w:val="E460D38E05664FF79D4EFF282EF8EC9930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5">
    <w:name w:val="4672CCA166BA4F0A892EB1D7BA0002CB5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3">
    <w:name w:val="D290653DA13E4E738B7E725F79D7332923"/>
    <w:rsid w:val="002D09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C8A38705F7143EA87FF3DEB2C34E7E56">
    <w:name w:val="1C8A38705F7143EA87FF3DEB2C34E7E56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DC45A2FD697422FAA3CD896A84FA7B46">
    <w:name w:val="4DC45A2FD697422FAA3CD896A84FA7B46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10C6E051A88448494B3C30FBAD747735">
    <w:name w:val="610C6E051A88448494B3C30FBAD747735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94836ADA6264C72A55F651E19C4C7A65">
    <w:name w:val="E94836ADA6264C72A55F651E19C4C7A65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9">
    <w:name w:val="E6E6A917CC5E4519A8F2E864C48E22F219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9">
    <w:name w:val="9DC4FF55E52B4E209349FC40470DD41819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9">
    <w:name w:val="112E7BE5CCF64A68A3D497F283A4D69519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7">
    <w:name w:val="ECC435E5782A4F3FB39457279E24BE8817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1">
    <w:name w:val="E460D38E05664FF79D4EFF282EF8EC9931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672CCA166BA4F0A892EB1D7BA0002CB6">
    <w:name w:val="4672CCA166BA4F0A892EB1D7BA0002CB6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4">
    <w:name w:val="D290653DA13E4E738B7E725F79D7332924"/>
    <w:rsid w:val="00A7435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81363654</CaseID>
    <CaseJudicialPersonPresentationDS>
      <CaseJudicalPersonActive>
        <CaseID>81363654</CaseID>
        <JudicialPersonID>058677980@GOV.IL</JudicialPersonID>
        <JudicialPersonTypeID>1</JudicialPersonTypeID>
        <JudicialTypeID>1</JudicialTypeID>
        <IsChairman>false</IsChairman>
        <TreatmentStartDate>2024-07-03T11:19:00.137+03:00</TreatmentStartDate>
        <TreatmentFinishDate>9999-12-31T23:59:59.997+02:00</TreatmentFinishDate>
        <IdentificationCardNumber>058677980</IdentificationCardNumber>
        <DisplayName>אריה נאמן</DisplayName>
        <JudicialTypeName>שופט</JudicialTypeName>
        <CaseJudicialGroupNumber>0</CaseJudicialGroupNumber>
        <FirstName>אריה</FirstName>
        <LastName>נאמן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שלומי באשי</FullName>
        <FirstName>שלומי</FirstName>
        <LastName>באשי</LastName>
        <PartyPropertyName/>
        <AuthenticationTypeAndNumber>מ.ר. 20341</AuthenticationTypeAndNumber>
        <RepresentatedOrRepresentativesNames>עו"ד שלומי באשי - כונס נכסים, חנה שמוחי</RepresentatedOrRepresentativesNames>
        <RepresentatedOrRepresentativesCount>2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272254595</CasePartyID>
        <PartyTypeID>2</PartyTypeID>
        <ActivityStatusID>1</ActivityStatusID>
        <PartyAliasID>23</PartyAliasID>
        <PartyAliasName>בא כוח משיבים</PartyAliasName>
        <LegalEntityID>384217</LegalEntityID>
        <CaseLegalEntityID>129509823</CaseLegalEntityID>
        <AuthenticationTypeID>4</AuthenticationTypeID>
        <AuthenticationTypeName>מ.ר.</AuthenticationTypeName>
        <LegalEntityNumber>20341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דרך מנחם בגין 148 תל אביב -יפו </FullAddress>
        <EmailAddress>bashiadv@bashi-law.co.il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427199</LegalEntityAddressID>
        <LegalEntityEmailAddressID>67879887</LegalEntityEmailAddressID>
        <PleaTypeID>5</PleaTypeID>
        <LawyerOfficeName>משרד עו"ד: שלומי באשי</LawyerOfficeName>
        <LawyerOfficeID>424861</LawyerOfficeID>
        <GroupPartyAlias/>
        <IsConverted>false</IsConverted>
        <LegalEntityNameID>5201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שלומי באשי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אברהם בירן</FullName>
        <FirstName>אברהם</FirstName>
        <LastName>בירן</LastName>
        <PartyPropertyName/>
        <AuthenticationTypeAndNumber>ת"ז 065175366</AuthenticationTypeAndNumber>
        <RepresentatedOrRepresentativesNames>עמוס צדיקה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272244559</CasePartyID>
        <PartyTypeID>1</PartyTypeID>
        <ActivityStatusID>1</ActivityStatusID>
        <PartyAliasID>3</PartyAliasID>
        <PartyAliasName>מבקש</PartyAliasName>
        <OrdinalNumber>1</OrdinalNumber>
        <LegalEntityID>77482850</LegalEntityID>
        <CaseLegalEntityID>129506127</CaseLegalEntityID>
        <AuthenticationTypeID>1</AuthenticationTypeID>
        <AuthenticationTypeName>ת"ז</AuthenticationTypeName>
        <LegalEntityNumber>065175366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רח' המעיין 1 דירה 1 יקנעם עילית </FullAddress>
        <MotionID>0</MotionID>
        <CasePleaID>0</CasePleaID>
        <FatherName>אהרן</FatherName>
        <LinkedCaseID>0</LinkedCaseID>
        <PartyID>1</PartyID>
        <CasePartyCategoryID>2</CasePartyCategoryID>
        <LegalEntityAddressID>89495204</LegalEntityAddressID>
        <PleaTypeID>5</PleaTypeID>
        <GroupPartyAlias>מבקשים</GroupPartyAlias>
        <IsConverted>false</IsConverted>
        <LegalEntityRegisteredNameID>7831621</LegalEntityRegisteredNameID>
        <LegalEntityNameID>96694367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אברהם בירן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עמוס צדיקה</FullName>
        <FirstName>עמוס</FirstName>
        <LastName>צדיקה</LastName>
        <PartyPropertyName/>
        <AuthenticationTypeAndNumber>מ.ר. 21647</AuthenticationTypeAndNumber>
        <RepresentatedOrRepresentativesNames>אברהם בירן, ורדית בירן</RepresentatedOrRepresentativesNames>
        <RepresentatedOrRepresentativesCount>2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272244563</CasePartyID>
        <PartyTypeID>2</PartyTypeID>
        <ActivityStatusID>1</ActivityStatusID>
        <PartyAliasID>22</PartyAliasID>
        <PartyAliasName>בא כוח מבקשים</PartyAliasName>
        <OrdinalNumber>1</OrdinalNumber>
        <LegalEntityID>381819</LegalEntityID>
        <CaseLegalEntityID>129506131</CaseLegalEntityID>
        <AuthenticationTypeID>4</AuthenticationTypeID>
        <AuthenticationTypeName>מ.ר.</AuthenticationTypeName>
        <LegalEntityNumber>21647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פל ים 2 חיפה בנין אורן קומה 2</FullAddress>
        <EmailAddress>sadikaamos@gmail.com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75738494</LegalEntityAddressID>
        <LegalEntityEmailAddressID>43827887</LegalEntityEmailAddressID>
        <PleaTypeID>5</PleaTypeID>
        <LawyerOfficeName>משרד עו"ד: עמוס צדיקה</LawyerOfficeName>
        <LawyerOfficeID>422463</LawyerOfficeID>
        <GroupPartyAlias/>
        <IsConverted>false</IsConverted>
        <LegalEntityNameID>2803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עמוס צדיקה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עו"ד שלומי באשי - כונס נכסים</FullName>
        <FirstName>עו"ד שלומי</FirstName>
        <LastName>באשי - כונס נכסים</LastName>
        <PartyPropertyName/>
        <AuthenticationTypeAndNumber>ת"ז </AuthenticationTypeAndNumber>
        <RepresentatedOrRepresentativesNames>שלומי באשי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272244561</CasePartyID>
        <PartyTypeID>1</PartyTypeID>
        <ActivityStatusID>1</ActivityStatusID>
        <PartyAliasID>4</PartyAliasID>
        <PartyAliasName>משיב</PartyAliasName>
        <OrdinalNumber>1</OrdinalNumber>
        <LegalEntityID>81951157</LegalEntityID>
        <CaseLegalEntityID>129506129</CaseLegalEntityID>
        <AuthenticationTypeID>1</AuthenticationTypeID>
        <AuthenticationTypeName>ת"ז</AuthenticationTypeName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דרך מנחם בגין 148 תל אביב -יפו </FullAddress>
        <MotionID>0</MotionID>
        <CasePleaID>0</CasePleaID>
        <LinkedCaseID>0</LinkedCaseID>
        <PartyID>2</PartyID>
        <CasePartyCategoryID>2</CasePartyCategoryID>
        <LegalEntityAddressID>89408925</LegalEntityAddressID>
        <PleaTypeID>5</PleaTypeID>
        <GroupPartyAlias>משיבים</GroupPartyAlias>
        <IsConverted>false</IsConverted>
        <LegalEntityNameID>96798319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עו"ד שלומי באשי - כונס נכסים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ורדית בירן</FullName>
        <FirstName>ורדית</FirstName>
        <LastName>בירן</LastName>
        <PartyPropertyName/>
        <AuthenticationTypeAndNumber>ת"ז 050551076</AuthenticationTypeAndNumber>
        <RepresentatedOrRepresentativesNames>עמוס צדיקה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272244560</CasePartyID>
        <PartyTypeID>1</PartyTypeID>
        <ActivityStatusID>1</ActivityStatusID>
        <PartyAliasID>3</PartyAliasID>
        <PartyAliasName>מבקש</PartyAliasName>
        <OrdinalNumber>2</OrdinalNumber>
        <LegalEntityID>75656423</LegalEntityID>
        <CaseLegalEntityID>129506128</CaseLegalEntityID>
        <AuthenticationTypeID>1</AuthenticationTypeID>
        <AuthenticationTypeName>ת"ז</AuthenticationTypeName>
        <LegalEntityNumber>050551076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רח' המעיין 1 דירה 1 יקנעם עילית </FullAddress>
        <MotionID>0</MotionID>
        <CasePleaID>0</CasePleaID>
        <FatherName>בנימין</FatherName>
        <LinkedCaseID>0</LinkedCaseID>
        <PartyID>1</PartyID>
        <CasePartyCategoryID>2</CasePartyCategoryID>
        <LegalEntityAddressID>89495215</LegalEntityAddressID>
        <PleaTypeID>5</PleaTypeID>
        <GroupPartyAlias>מבקשים</GroupPartyAlias>
        <IsConverted>false</IsConverted>
        <LegalEntityRegisteredNameID>5914830</LegalEntityRegisteredNameID>
        <LegalEntityNameID>96798314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ורדית בירן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2 - משיב</RoleName>
        <IsSubProceeding>FALSE</IsSubProceeding>
        <FullName>חנה שמוחי</FullName>
        <FirstName>חנה</FirstName>
        <LastName>שמוחי</LastName>
        <PartyPropertyName/>
        <AuthenticationTypeAndNumber>ת"ז 052236148</AuthenticationTypeAndNumber>
        <RepresentatedOrRepresentativesNames>שלומי באשי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272244562</CasePartyID>
        <PartyTypeID>1</PartyTypeID>
        <ActivityStatusID>1</ActivityStatusID>
        <PartyAliasID>4</PartyAliasID>
        <PartyAliasName>משיב</PartyAliasName>
        <OrdinalNumber>2</OrdinalNumber>
        <LegalEntityID>75656421</LegalEntityID>
        <CaseLegalEntityID>129506130</CaseLegalEntityID>
        <AuthenticationTypeID>1</AuthenticationTypeID>
        <AuthenticationTypeName>ת"ז</AuthenticationTypeName>
        <LegalEntityNumber>052236148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דרך מנחם בגין 148 תל אביב -יפו באמצעות עו"ד שלומי באשי</FullAddress>
        <MotionID>0</MotionID>
        <CasePleaID>0</CasePleaID>
        <FatherName>בנימין</FatherName>
        <LinkedCaseID>0</LinkedCaseID>
        <PartyID>2</PartyID>
        <CasePartyCategoryID>2</CasePartyCategoryID>
        <LegalEntityAddressID>89408923</LegalEntityAddressID>
        <PleaTypeID>5</PleaTypeID>
        <GroupPartyAlias>משיבים</GroupPartyAlias>
        <IsConverted>false</IsConverted>
        <LegalEntityRegisteredNameID>5914828</LegalEntityRegisteredNameID>
        <LegalEntityNameID>96798358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חנה שמוחי</PublicationProhibitedFullName>
      </CaseParties>
    </CasePartiesSelectionDS>
    <DecisionName>החלטה  שניתנה ע"י  אריה נאמן</DecisionName>
    <CourtDisplayName>בית המשפט המחוזי בחיפה בשבתו כבית-משפט לערעורים אזרחיים</CourtDisplayName>
    <IsCaseJudgePanel>false</IsCaseJudgePanel>
    <DecisionSignatureDate>2024-07-03T15:46:34.2434919+03:00</DecisionSignatureDate>
    <OpenCaseDate>2024-07-02T14:41:00+03:00</OpenCaseDate>
    <CaseFeeSum>0.000</CaseFeeSum>
    <ExternalCaseNumber>5193480221</ExternalCaseNumber>
    <DecisionTypeID>1</DecisionTypeID>
    <DecisionSignatureUserName>אריה נאמן</DecisionSignatureUserName>
    <DecisionSignatureDateHebrew>2024-07-03T15:46:34.2434919+03:00</DecisionSignatureDateHebrew>
    <DecisionWriterID>058677980@GOV.IL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</DecisionSignatureUserTitleName>
    <CaseName>בירן ואח' נ' באשי - כונס נכסים ואח'</CaseName>
    <DecisionNumberInCase>4</DecisionNumberInCase>
  </dt_Decision>
  <dt_DecisionCase>
    <DecisionID>0</DecisionID>
    <CaseID>81363654</CaseID>
    <CaseJudicialPersonPresentationDS>
      <CaseJudicalPersonActive>
        <CaseID>81363654</CaseID>
        <JudicialPersonID>058677980@GOV.IL</JudicialPersonID>
        <JudicialPersonTypeID>1</JudicialPersonTypeID>
        <JudicialTypeID>1</JudicialTypeID>
        <IsChairman>false</IsChairman>
        <TreatmentStartDate>2024-07-03T11:19:00.137+03:00</TreatmentStartDate>
        <TreatmentFinishDate>9999-12-31T23:59:59.997+02:00</TreatmentFinishDate>
        <IdentificationCardNumber>058677980</IdentificationCardNumber>
        <DisplayName>אריה נאמן</DisplayName>
        <JudicialTypeName>שופט</JudicialTypeName>
        <CaseJudicialGroupNumber>0</CaseJudicialGroupNumber>
        <FirstName>אריה</FirstName>
        <LastName>נאמן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בקשה</PleaName>
        <PartyBelonging> - </PartyBelonging>
        <RoleName>בא כוח משיבים</RoleName>
        <IsSubProceeding>FALSE</IsSubProceeding>
        <FullName>שלומי באשי</FullName>
        <FirstName>שלומי</FirstName>
        <LastName>באשי</LastName>
        <PartyPropertyName/>
        <AuthenticationTypeAndNumber>מ.ר. 20341</AuthenticationTypeAndNumber>
        <RepresentatedOrRepresentativesNames>עו"ד שלומי באשי - כונס נכסים, חנה שמוחי</RepresentatedOrRepresentativesNames>
        <RepresentatedOrRepresentativesCount>2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272254595</CasePartyID>
        <PartyTypeID>2</PartyTypeID>
        <ActivityStatusID>1</ActivityStatusID>
        <PartyAliasID>23</PartyAliasID>
        <PartyAliasName>בא כוח משיבים</PartyAliasName>
        <LegalEntityID>384217</LegalEntityID>
        <CaseLegalEntityID>129509823</CaseLegalEntityID>
        <AuthenticationTypeID>4</AuthenticationTypeID>
        <AuthenticationTypeName>מ.ר.</AuthenticationTypeName>
        <LegalEntityNumber>20341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דרך מנחם בגין 148 תל אביב -יפו </FullAddress>
        <EmailAddress>bashiadv@bashi-law.co.il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427199</LegalEntityAddressID>
        <LegalEntityEmailAddressID>67879887</LegalEntityEmailAddressID>
        <PleaTypeID>5</PleaTypeID>
        <LawyerOfficeName>משרד עו"ד: שלומי באשי</LawyerOfficeName>
        <LawyerOfficeID>424861</LawyerOfficeID>
        <GroupPartyAlias/>
        <IsConverted>false</IsConverted>
        <LegalEntityNameID>5201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שלומי באשי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1</RoleName>
        <IsSubProceeding>FALSE</IsSubProceeding>
        <FullName>אברהם בירן</FullName>
        <FirstName>אברהם</FirstName>
        <LastName>בירן</LastName>
        <PartyPropertyName/>
        <AuthenticationTypeAndNumber>ת"ז 065175366</AuthenticationTypeAndNumber>
        <RepresentatedOrRepresentativesNames>עמוס צדיקה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272244559</CasePartyID>
        <PartyTypeID>1</PartyTypeID>
        <ActivityStatusID>1</ActivityStatusID>
        <PartyAliasID>3</PartyAliasID>
        <PartyAliasName>מבקש</PartyAliasName>
        <OrdinalNumber>1</OrdinalNumber>
        <LegalEntityID>77482850</LegalEntityID>
        <CaseLegalEntityID>129506127</CaseLegalEntityID>
        <AuthenticationTypeID>1</AuthenticationTypeID>
        <AuthenticationTypeName>ת"ז</AuthenticationTypeName>
        <LegalEntityNumber>065175366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רח' המעיין 1 דירה 1 יקנעם עילית </FullAddress>
        <MotionID>0</MotionID>
        <CasePleaID>0</CasePleaID>
        <FatherName>אהרן</FatherName>
        <LinkedCaseID>0</LinkedCaseID>
        <PartyID>1</PartyID>
        <CasePartyCategoryID>2</CasePartyCategoryID>
        <LegalEntityAddressID>89495204</LegalEntityAddressID>
        <PleaTypeID>5</PleaTypeID>
        <GroupPartyAlias>מבקשים</GroupPartyAlias>
        <IsConverted>false</IsConverted>
        <LegalEntityRegisteredNameID>7831621</LegalEntityRegisteredNameID>
        <LegalEntityNameID>96694367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אברהם בירן</PublicationProhibitedFullName>
      </CaseParties>
      <CaseParties>
        <PartyTypeName>בא כוח</PartyTypeName>
        <ProceedingType>כתב טענות עיקרי</ProceedingType>
        <PleaName>כתב בקשה</PleaName>
        <PartyBelonging> - </PartyBelonging>
        <RoleName>בא כוח מבקשים</RoleName>
        <IsSubProceeding>FALSE</IsSubProceeding>
        <FullName>עמוס צדיקה</FullName>
        <FirstName>עמוס</FirstName>
        <LastName>צדיקה</LastName>
        <PartyPropertyName/>
        <AuthenticationTypeAndNumber>מ.ר. 21647</AuthenticationTypeAndNumber>
        <RepresentatedOrRepresentativesNames>אברהם בירן, ורדית בירן</RepresentatedOrRepresentativesNames>
        <RepresentatedOrRepresentativesCount>2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272244563</CasePartyID>
        <PartyTypeID>2</PartyTypeID>
        <ActivityStatusID>1</ActivityStatusID>
        <PartyAliasID>22</PartyAliasID>
        <PartyAliasName>בא כוח מבקשים</PartyAliasName>
        <OrdinalNumber>1</OrdinalNumber>
        <LegalEntityID>381819</LegalEntityID>
        <CaseLegalEntityID>129506131</CaseLegalEntityID>
        <AuthenticationTypeID>4</AuthenticationTypeID>
        <AuthenticationTypeName>מ.ר.</AuthenticationTypeName>
        <LegalEntityNumber>21647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פל ים 2 חיפה בנין אורן קומה 2</FullAddress>
        <EmailAddress>sadikaamos@gmail.com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75738494</LegalEntityAddressID>
        <LegalEntityEmailAddressID>43827887</LegalEntityEmailAddressID>
        <PleaTypeID>5</PleaTypeID>
        <LawyerOfficeName>משרד עו"ד: עמוס צדיקה</LawyerOfficeName>
        <LawyerOfficeID>422463</LawyerOfficeID>
        <GroupPartyAlias/>
        <IsConverted>false</IsConverted>
        <LegalEntityNameID>2803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עמוס צדיקה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1</RoleName>
        <IsSubProceeding>FALSE</IsSubProceeding>
        <FullName>עו"ד שלומי באשי - כונס נכסים</FullName>
        <FirstName>עו"ד שלומי</FirstName>
        <LastName>באשי - כונס נכסים</LastName>
        <PartyPropertyName/>
        <AuthenticationTypeAndNumber>ת"ז </AuthenticationTypeAndNumber>
        <RepresentatedOrRepresentativesNames>שלומי באשי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272244561</CasePartyID>
        <PartyTypeID>1</PartyTypeID>
        <ActivityStatusID>1</ActivityStatusID>
        <PartyAliasID>4</PartyAliasID>
        <PartyAliasName>משיב</PartyAliasName>
        <OrdinalNumber>1</OrdinalNumber>
        <LegalEntityID>81951157</LegalEntityID>
        <CaseLegalEntityID>129506129</CaseLegalEntityID>
        <AuthenticationTypeID>1</AuthenticationTypeID>
        <AuthenticationTypeName>ת"ז</AuthenticationTypeName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דרך מנחם בגין 148 תל אביב -יפו </FullAddress>
        <MotionID>0</MotionID>
        <CasePleaID>0</CasePleaID>
        <LinkedCaseID>0</LinkedCaseID>
        <PartyID>2</PartyID>
        <CasePartyCategoryID>2</CasePartyCategoryID>
        <LegalEntityAddressID>89408925</LegalEntityAddressID>
        <PleaTypeID>5</PleaTypeID>
        <GroupPartyAlias>משיבים</GroupPartyAlias>
        <IsConverted>false</IsConverted>
        <LegalEntityNameID>96798319</LegalEntityNameID>
        <RepresentatedNamesOfAssistant/>
        <LegalEntityTypeID>1</LegalEntityTypeID>
        <IsVerdictExists>false</IsVerdictExists>
        <IsAsirAzir>false</IsAsirAzir>
        <IsPublicationProhibited>false</IsPublicationProhibited>
        <PublicationProhibitedFullName>עו"ד שלומי באשי - כונס נכסים</PublicationProhibitedFullName>
      </CaseParties>
      <CaseParties>
        <PartyTypeName>צד</PartyTypeName>
        <ProceedingType>כתב טענות עיקרי</ProceedingType>
        <PleaName>כתב בקשה</PleaName>
        <PartyBelonging>צד א'</PartyBelonging>
        <RoleName>מבקש 2</RoleName>
        <IsSubProceeding>FALSE</IsSubProceeding>
        <FullName>ורדית בירן</FullName>
        <FirstName>ורדית</FirstName>
        <LastName>בירן</LastName>
        <PartyPropertyName/>
        <AuthenticationTypeAndNumber>ת"ז 050551076</AuthenticationTypeAndNumber>
        <RepresentatedOrRepresentativesNames>עמוס צדיקה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272244560</CasePartyID>
        <PartyTypeID>1</PartyTypeID>
        <ActivityStatusID>1</ActivityStatusID>
        <PartyAliasID>3</PartyAliasID>
        <PartyAliasName>מבקש</PartyAliasName>
        <OrdinalNumber>2</OrdinalNumber>
        <LegalEntityID>75656423</LegalEntityID>
        <CaseLegalEntityID>129506128</CaseLegalEntityID>
        <AuthenticationTypeID>1</AuthenticationTypeID>
        <AuthenticationTypeName>ת"ז</AuthenticationTypeName>
        <LegalEntityNumber>050551076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רח' המעיין 1 דירה 1 יקנעם עילית </FullAddress>
        <MotionID>0</MotionID>
        <CasePleaID>0</CasePleaID>
        <FatherName>בנימין</FatherName>
        <LinkedCaseID>0</LinkedCaseID>
        <PartyID>1</PartyID>
        <CasePartyCategoryID>2</CasePartyCategoryID>
        <LegalEntityAddressID>89495215</LegalEntityAddressID>
        <PleaTypeID>5</PleaTypeID>
        <GroupPartyAlias>מבקשים</GroupPartyAlias>
        <IsConverted>false</IsConverted>
        <LegalEntityRegisteredNameID>5914830</LegalEntityRegisteredNameID>
        <LegalEntityNameID>96798314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ורדית בירן</PublicationProhibitedFullName>
      </CaseParties>
      <CaseParties>
        <PartyTypeName>צד</PartyTypeName>
        <ProceedingType>כתב טענות עיקרי</ProceedingType>
        <PleaName>כתב בקשה</PleaName>
        <PartyBelonging>צד ב'</PartyBelonging>
        <RoleName>משיב 2 - משיב</RoleName>
        <IsSubProceeding>FALSE</IsSubProceeding>
        <FullName>חנה שמוחי</FullName>
        <FirstName>חנה</FirstName>
        <LastName>שמוחי</LastName>
        <PartyPropertyName/>
        <AuthenticationTypeAndNumber>ת"ז 052236148</AuthenticationTypeAndNumber>
        <RepresentatedOrRepresentativesNames>שלומי באשי</RepresentatedOrRepresentativesNames>
        <RepresentatedOrRepresentativesCount>1</RepresentatedOrRepresentativesCount>
        <InvitedBy/>
        <CaseID>81363654</CaseID>
        <CaseJudicialPersonPresentationDS>
          <CaseJudicalPersonActive>
            <CaseID>81363654</CaseID>
            <JudicialPersonID>058677980@GOV.IL</JudicialPersonID>
            <JudicialPersonTypeID>1</JudicialPersonTypeID>
            <JudicialTypeID>1</JudicialTypeID>
            <IsChairman>false</IsChairman>
            <TreatmentStartDate>2024-07-03T11:19:00.137+03:00</TreatmentStartDate>
            <TreatmentFinishDate>9999-12-31T23:59:59.997+02:00</TreatmentFinishDate>
            <IdentificationCardNumber>058677980</IdentificationCardNumber>
            <DisplayName>אריה נאמן</DisplayName>
            <JudicialTypeName>שופט</JudicialTypeName>
            <CaseJudicialGroupNumber>0</CaseJudicialGroupNumber>
            <FirstName>אריה</FirstName>
            <LastName>נאמן</LastName>
            <JudicialPersonTitle>שופט</JudicialPersonTitle>
          </CaseJudicalPersonActive>
        </CaseJudicialPersonPresentationDS>
        <CasePartyID>272244562</CasePartyID>
        <PartyTypeID>1</PartyTypeID>
        <ActivityStatusID>1</ActivityStatusID>
        <PartyAliasID>4</PartyAliasID>
        <PartyAliasName>משיב</PartyAliasName>
        <OrdinalNumber>2</OrdinalNumber>
        <LegalEntityID>75656421</LegalEntityID>
        <CaseLegalEntityID>129506130</CaseLegalEntityID>
        <AuthenticationTypeID>1</AuthenticationTypeID>
        <AuthenticationTypeName>ת"ז</AuthenticationTypeName>
        <LegalEntityNumber>052236148</LegalEntityNumber>
        <IsMainPartyType>true</IsMainPartyType>
        <CaseDisplayIdentifier>7501-07-24</CaseDisplayIdentifier>
        <CaseTypeID>10074</CaseTypeID>
        <CaseTypeName>רשות ערעור משפחה (רמ"ש)</CaseTypeName>
        <CaseName>בירן ואח' נ' באשי - כונס נכסים ואח'</CaseName>
        <FullAddress>דרך מנחם בגין 148 תל אביב -יפו באמצעות עו"ד שלומי באשי</FullAddress>
        <MotionID>0</MotionID>
        <CasePleaID>0</CasePleaID>
        <FatherName>בנימין</FatherName>
        <LinkedCaseID>0</LinkedCaseID>
        <PartyID>2</PartyID>
        <CasePartyCategoryID>2</CasePartyCategoryID>
        <LegalEntityAddressID>89408923</LegalEntityAddressID>
        <PleaTypeID>5</PleaTypeID>
        <GroupPartyAlias>משיבים</GroupPartyAlias>
        <IsConverted>false</IsConverted>
        <LegalEntityRegisteredNameID>5914828</LegalEntityRegisteredNameID>
        <LegalEntityNameID>96798358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חנה שמוחי</PublicationProhibitedFullName>
      </CaseParties>
    </CasePartiesSelectionDS>
    <CaseName>בירן ואח' נ' באשי - כונס נכסים ואח'</CaseName>
    <CaseDisplayIdentifier>7501-07-24</CaseDisplayIdentifier>
    <CaseInterestID>101</CaseInterestID>
    <CaseTypeShortName>רמ"ש</CaseTypeShortName>
  </dt_DecisionCase>
  <dt_DecisionJudgePanel>
    <JudgeID>058677980@GOV.IL</JudgeID>
    <DisplayName>אריה נאמן</DisplayName>
    <RoleName>שופט</RoleName>
    <UserTitleName>שופט</UserTitleName>
  </dt_DecisionJudgePanel>
  <dt_LegalEntityDetails>
    <Fax>03-6952351</Fax>
    <Phone>03-6076221</Phone>
    <PartyID>2</PartyID>
    <PartyTypeID>2</PartyTypeID>
    <DecisionID>0</DecisionID>
    <StreetName>דרך מנחם בגין 148</StreetName>
    <ZipCode>64921</ZipCode>
    <CityName>תל אביב -יפו</CityName>
    <FullName>שלומי באשי</FullName>
    <Email>bashiadv@bashi-law.co.il</Email>
    <IsPublicationProhibited>false</IsPublicationProhibited>
  </dt_LegalEntityDetails>
  <dt_LegalEntityDetails>
    <PartyID>1</PartyID>
    <PartyTypeID>1</PartyTypeID>
    <DecisionID>0</DecisionID>
    <StreetName>רח' המעיין 1 דירה 1</StreetName>
    <CityName>יקנעם עילית</CityName>
    <FullName>אברהם בירן</FullName>
    <IsPublicationProhibited>false</IsPublicationProhibited>
  </dt_LegalEntityDetails>
  <dt_LegalEntityDetails>
    <Fax>03-6952351</Fax>
    <Phone>03-6076221</Phone>
    <PartyID>2</PartyID>
    <PartyTypeID>1</PartyTypeID>
    <DecisionID>0</DecisionID>
    <StreetName>דרך מנחם בגין 148</StreetName>
    <CityName>תל אביב -יפו</CityName>
    <FullName>עו"ד שלומי באשי - כונס נכסים</FullName>
    <IsPublicationProhibited>false</IsPublicationProhibited>
  </dt_LegalEntityDetails>
  <dt_LegalEntityDetails>
    <Fax>04-8628556</Fax>
    <Phone>04-8670680</Phone>
    <AddressDesc>בנין אורן קומה 2</AddressDesc>
    <PartyID>1</PartyID>
    <PartyTypeID>2</PartyTypeID>
    <DecisionID>0</DecisionID>
    <StreetName>פל ים 2</StreetName>
    <ZipCode>33095</ZipCode>
    <CityName>חיפה</CityName>
    <FullName>עמוס צדיקה</FullName>
    <Email>sadikaamos@gmail.com</Email>
    <IsPublicationProhibited>false</IsPublicationProhibited>
  </dt_LegalEntityDetails>
  <dt_LegalEntityDetails>
    <PartyID>1</PartyID>
    <PartyTypeID>1</PartyTypeID>
    <DecisionID>0</DecisionID>
    <StreetName>רח' המעיין 1 דירה 1</StreetName>
    <CityName>יקנעם עילית</CityName>
    <FullName>ורדית בירן</FullName>
    <IsPublicationProhibited>false</IsPublicationProhibited>
  </dt_LegalEntityDetails>
  <dt_LegalEntityDetails>
    <Fax>03-6952351</Fax>
    <AddressDesc>באמצעות עו"ד שלומי באשי </AddressDesc>
    <PartyID>2</PartyID>
    <PartyTypeID>1</PartyTypeID>
    <DecisionID>0</DecisionID>
    <StreetName>דרך מנחם בגין 148</StreetName>
    <CityName>תל אביב -יפו</CityName>
    <FullName>חנה שמוחי</FullName>
    <IsPublicationProhibited>false</IsPublicationProhibited>
  </dt_LegalEntityDetails>
  <dt_CaseJudicalPersonActive>
    <CaseJudicalPerson>שופט אריה נאמן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79A73-F75E-46A9-B04B-0B88CCAEDE8C}">
  <ds:schemaRefs/>
</ds:datastoreItem>
</file>

<file path=customXml/itemProps2.xml><?xml version="1.0" encoding="utf-8"?>
<ds:datastoreItem xmlns:ds="http://schemas.openxmlformats.org/officeDocument/2006/customXml" ds:itemID="{DEC09976-DD70-4A7D-8335-A225F07CE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2513</Words>
  <Characters>12570</Characters>
  <Application>Microsoft Office Word</Application>
  <DocSecurity>0</DocSecurity>
  <Lines>104</Lines>
  <Paragraphs>30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2024-07-11T10:48:00Z</dcterms:created>
  <dcterms:modified xsi:type="dcterms:W3CDTF">2024-07-11T10:48:00Z</dcterms:modified>
</cp:coreProperties>
</file>